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457200</wp:posOffset>
            </wp:positionH>
            <wp:positionV relativeFrom="page">
              <wp:posOffset>1083310</wp:posOffset>
            </wp:positionV>
            <wp:extent cx="694690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46900" cy="8255"/>
                    </a:xfrm>
                    <a:prstGeom prst="rect">
                      <a:avLst/>
                    </a:prstGeom>
                    <a:noFill/>
                  </pic:spPr>
                </pic:pic>
              </a:graphicData>
            </a:graphic>
          </wp:anchor>
        </w:drawing>
        <w:drawing>
          <wp:anchor simplePos="0" relativeHeight="251657728" behindDoc="1" locked="0" layoutInCell="0" allowOverlap="1">
            <wp:simplePos x="0" y="0"/>
            <wp:positionH relativeFrom="page">
              <wp:posOffset>457200</wp:posOffset>
            </wp:positionH>
            <wp:positionV relativeFrom="page">
              <wp:posOffset>1041400</wp:posOffset>
            </wp:positionV>
            <wp:extent cx="6946900" cy="165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16510"/>
                    </a:xfrm>
                    <a:prstGeom prst="rect">
                      <a:avLst/>
                    </a:prstGeom>
                    <a:noFill/>
                  </pic:spPr>
                </pic:pic>
              </a:graphicData>
            </a:graphic>
          </wp:anchor>
        </w:drawing>
      </w:r>
    </w:p>
    <w:p>
      <w:pPr>
        <w:spacing w:after="0" w:line="244" w:lineRule="exact"/>
        <w:rPr>
          <w:sz w:val="24"/>
          <w:szCs w:val="24"/>
          <w:color w:val="auto"/>
        </w:rPr>
      </w:pPr>
    </w:p>
    <w:p>
      <w:pPr>
        <w:jc w:val="center"/>
        <w:ind w:left="380"/>
        <w:spacing w:after="0"/>
        <w:rPr>
          <w:sz w:val="20"/>
          <w:szCs w:val="20"/>
          <w:color w:val="auto"/>
        </w:rPr>
      </w:pPr>
      <w:r>
        <w:rPr>
          <w:rFonts w:ascii="Arial" w:cs="Arial" w:eastAsia="Arial" w:hAnsi="Arial"/>
          <w:sz w:val="28"/>
          <w:szCs w:val="28"/>
          <w:b w:val="1"/>
          <w:bCs w:val="1"/>
          <w:color w:val="auto"/>
        </w:rPr>
        <w:t>UNITED STATES</w:t>
      </w:r>
    </w:p>
    <w:p>
      <w:pPr>
        <w:spacing w:after="0" w:line="112" w:lineRule="exact"/>
        <w:rPr>
          <w:sz w:val="24"/>
          <w:szCs w:val="24"/>
          <w:color w:val="auto"/>
        </w:rPr>
      </w:pPr>
    </w:p>
    <w:p>
      <w:pPr>
        <w:jc w:val="center"/>
        <w:ind w:left="380"/>
        <w:spacing w:after="0"/>
        <w:rPr>
          <w:sz w:val="20"/>
          <w:szCs w:val="20"/>
          <w:color w:val="auto"/>
        </w:rPr>
      </w:pPr>
      <w:r>
        <w:rPr>
          <w:rFonts w:ascii="Arial" w:cs="Arial" w:eastAsia="Arial" w:hAnsi="Arial"/>
          <w:sz w:val="28"/>
          <w:szCs w:val="28"/>
          <w:b w:val="1"/>
          <w:bCs w:val="1"/>
          <w:color w:val="auto"/>
        </w:rPr>
        <w:t>SECURITIES AND EXCHANGE COMMISSION</w:t>
      </w:r>
    </w:p>
    <w:p>
      <w:pPr>
        <w:spacing w:after="0" w:line="139" w:lineRule="exact"/>
        <w:rPr>
          <w:sz w:val="24"/>
          <w:szCs w:val="24"/>
          <w:color w:val="auto"/>
        </w:rPr>
      </w:pPr>
    </w:p>
    <w:p>
      <w:pPr>
        <w:ind w:left="492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713740</wp:posOffset>
            </wp:positionH>
            <wp:positionV relativeFrom="paragraph">
              <wp:posOffset>97790</wp:posOffset>
            </wp:positionV>
            <wp:extent cx="57150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00" cy="8255"/>
                    </a:xfrm>
                    <a:prstGeom prst="rect">
                      <a:avLst/>
                    </a:prstGeom>
                    <a:noFill/>
                  </pic:spPr>
                </pic:pic>
              </a:graphicData>
            </a:graphic>
          </wp:anchor>
        </w:drawing>
      </w:r>
    </w:p>
    <w:p>
      <w:pPr>
        <w:spacing w:after="0" w:line="145" w:lineRule="exact"/>
        <w:rPr>
          <w:sz w:val="24"/>
          <w:szCs w:val="24"/>
          <w:color w:val="auto"/>
        </w:rPr>
      </w:pPr>
    </w:p>
    <w:p>
      <w:pPr>
        <w:ind w:left="46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713740</wp:posOffset>
            </wp:positionH>
            <wp:positionV relativeFrom="paragraph">
              <wp:posOffset>43180</wp:posOffset>
            </wp:positionV>
            <wp:extent cx="57150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00" cy="8255"/>
                    </a:xfrm>
                    <a:prstGeom prst="rect">
                      <a:avLst/>
                    </a:prstGeom>
                    <a:noFill/>
                  </pic:spPr>
                </pic:pic>
              </a:graphicData>
            </a:graphic>
          </wp:anchor>
        </w:drawing>
      </w:r>
    </w:p>
    <w:p>
      <w:pPr>
        <w:spacing w:after="0" w:line="99" w:lineRule="exact"/>
        <w:rPr>
          <w:sz w:val="24"/>
          <w:szCs w:val="24"/>
          <w:color w:val="auto"/>
        </w:rPr>
      </w:pPr>
    </w:p>
    <w:p>
      <w:pPr>
        <w:jc w:val="center"/>
        <w:ind w:right="100"/>
        <w:spacing w:after="0"/>
        <w:rPr>
          <w:sz w:val="20"/>
          <w:szCs w:val="20"/>
          <w:color w:val="auto"/>
        </w:rPr>
      </w:pPr>
      <w:r>
        <w:rPr>
          <w:rFonts w:ascii="Arial" w:cs="Arial" w:eastAsia="Arial" w:hAnsi="Arial"/>
          <w:sz w:val="21"/>
          <w:szCs w:val="21"/>
          <w:b w:val="1"/>
          <w:bCs w:val="1"/>
          <w:color w:val="auto"/>
        </w:rPr>
        <w:t>CURRENT REPORT</w:t>
      </w:r>
    </w:p>
    <w:p>
      <w:pPr>
        <w:spacing w:after="0" w:line="32" w:lineRule="exact"/>
        <w:rPr>
          <w:sz w:val="24"/>
          <w:szCs w:val="24"/>
          <w:color w:val="auto"/>
        </w:rPr>
      </w:pPr>
    </w:p>
    <w:p>
      <w:pPr>
        <w:jc w:val="center"/>
        <w:ind w:right="100"/>
        <w:spacing w:after="0"/>
        <w:rPr>
          <w:sz w:val="20"/>
          <w:szCs w:val="20"/>
          <w:color w:val="auto"/>
        </w:rPr>
      </w:pPr>
      <w:r>
        <w:rPr>
          <w:rFonts w:ascii="Arial" w:cs="Arial" w:eastAsia="Arial" w:hAnsi="Arial"/>
          <w:sz w:val="21"/>
          <w:szCs w:val="21"/>
          <w:b w:val="1"/>
          <w:bCs w:val="1"/>
          <w:color w:val="auto"/>
        </w:rPr>
        <w:t>Pursuant to Section 13 or 15(d) of the</w:t>
      </w:r>
    </w:p>
    <w:p>
      <w:pPr>
        <w:spacing w:after="0" w:line="9" w:lineRule="exact"/>
        <w:rPr>
          <w:sz w:val="24"/>
          <w:szCs w:val="24"/>
          <w:color w:val="auto"/>
        </w:rPr>
      </w:pPr>
    </w:p>
    <w:p>
      <w:pPr>
        <w:jc w:val="center"/>
        <w:ind w:right="100"/>
        <w:spacing w:after="0"/>
        <w:rPr>
          <w:sz w:val="20"/>
          <w:szCs w:val="20"/>
          <w:color w:val="auto"/>
        </w:rPr>
      </w:pPr>
      <w:r>
        <w:rPr>
          <w:rFonts w:ascii="Arial" w:cs="Arial" w:eastAsia="Arial" w:hAnsi="Arial"/>
          <w:sz w:val="21"/>
          <w:szCs w:val="21"/>
          <w:b w:val="1"/>
          <w:bCs w:val="1"/>
          <w:color w:val="auto"/>
        </w:rPr>
        <w:t>Securities Exchange Act of 1934</w:t>
      </w:r>
    </w:p>
    <w:p>
      <w:pPr>
        <w:spacing w:after="0" w:line="99" w:lineRule="exact"/>
        <w:rPr>
          <w:sz w:val="24"/>
          <w:szCs w:val="24"/>
          <w:color w:val="auto"/>
        </w:rPr>
      </w:pPr>
    </w:p>
    <w:p>
      <w:pPr>
        <w:ind w:left="2220"/>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October 23,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713740</wp:posOffset>
            </wp:positionH>
            <wp:positionV relativeFrom="paragraph">
              <wp:posOffset>47625</wp:posOffset>
            </wp:positionV>
            <wp:extent cx="57150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5000" cy="8255"/>
                    </a:xfrm>
                    <a:prstGeom prst="rect">
                      <a:avLst/>
                    </a:prstGeom>
                    <a:noFill/>
                  </pic:spPr>
                </pic:pic>
              </a:graphicData>
            </a:graphic>
          </wp:anchor>
        </w:drawing>
      </w:r>
    </w:p>
    <w:p>
      <w:pPr>
        <w:spacing w:after="0" w:line="119" w:lineRule="exact"/>
        <w:rPr>
          <w:sz w:val="24"/>
          <w:szCs w:val="24"/>
          <w:color w:val="auto"/>
        </w:rPr>
      </w:pPr>
    </w:p>
    <w:p>
      <w:pPr>
        <w:jc w:val="center"/>
        <w:ind w:left="380"/>
        <w:spacing w:after="0"/>
        <w:rPr>
          <w:sz w:val="20"/>
          <w:szCs w:val="20"/>
          <w:color w:val="auto"/>
        </w:rPr>
      </w:pPr>
      <w:r>
        <w:rPr>
          <w:rFonts w:ascii="Arial" w:cs="Arial" w:eastAsia="Arial" w:hAnsi="Arial"/>
          <w:sz w:val="32"/>
          <w:szCs w:val="32"/>
          <w:b w:val="1"/>
          <w:bCs w:val="1"/>
          <w:color w:val="auto"/>
        </w:rPr>
        <w:t>Shutterstock,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713740</wp:posOffset>
            </wp:positionH>
            <wp:positionV relativeFrom="paragraph">
              <wp:posOffset>85090</wp:posOffset>
            </wp:positionV>
            <wp:extent cx="57150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5000" cy="8255"/>
                    </a:xfrm>
                    <a:prstGeom prst="rect">
                      <a:avLst/>
                    </a:prstGeom>
                    <a:noFill/>
                  </pic:spPr>
                </pic:pic>
              </a:graphicData>
            </a:graphic>
          </wp:anchor>
        </w:drawing>
      </w:r>
    </w:p>
    <w:p>
      <w:pPr>
        <w:spacing w:after="0" w:line="141" w:lineRule="exact"/>
        <w:rPr>
          <w:sz w:val="24"/>
          <w:szCs w:val="24"/>
          <w:color w:val="auto"/>
        </w:rPr>
      </w:pPr>
    </w:p>
    <w:p>
      <w:pPr>
        <w:jc w:val="center"/>
        <w:ind w:left="340"/>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713740</wp:posOffset>
            </wp:positionH>
            <wp:positionV relativeFrom="paragraph">
              <wp:posOffset>26670</wp:posOffset>
            </wp:positionV>
            <wp:extent cx="57150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15000" cy="8255"/>
                    </a:xfrm>
                    <a:prstGeom prst="rect">
                      <a:avLst/>
                    </a:prstGeom>
                    <a:noFill/>
                  </pic:spPr>
                </pic:pic>
              </a:graphicData>
            </a:graphic>
          </wp:anchor>
        </w:drawing>
      </w:r>
    </w:p>
    <w:p>
      <w:pPr>
        <w:sectPr>
          <w:pgSz w:w="11900" w:h="16838" w:orient="portrait"/>
          <w:cols w:equalWidth="0" w:num="1">
            <w:col w:w="11340"/>
          </w:cols>
          <w:pgMar w:left="320" w:top="1440" w:right="239" w:bottom="1440" w:gutter="0" w:footer="0" w:header="0"/>
        </w:sectPr>
      </w:pPr>
    </w:p>
    <w:p>
      <w:pPr>
        <w:spacing w:after="0" w:line="287" w:lineRule="exact"/>
        <w:rPr>
          <w:sz w:val="24"/>
          <w:szCs w:val="24"/>
          <w:color w:val="auto"/>
        </w:rPr>
      </w:pPr>
    </w:p>
    <w:p>
      <w:pPr>
        <w:ind w:left="132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jc w:val="center"/>
        <w:ind w:right="2420"/>
        <w:spacing w:after="0"/>
        <w:rPr>
          <w:sz w:val="20"/>
          <w:szCs w:val="20"/>
          <w:color w:val="auto"/>
        </w:rPr>
      </w:pPr>
      <w:r>
        <w:rPr>
          <w:rFonts w:ascii="Arial" w:cs="Arial" w:eastAsia="Arial" w:hAnsi="Arial"/>
          <w:sz w:val="15"/>
          <w:szCs w:val="15"/>
          <w:b w:val="1"/>
          <w:bCs w:val="1"/>
          <w:color w:val="auto"/>
        </w:rPr>
        <w:t>001-35669</w:t>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80-0812659</w:t>
      </w:r>
    </w:p>
    <w:p>
      <w:pPr>
        <w:spacing w:after="0" w:line="90" w:lineRule="exact"/>
        <w:rPr>
          <w:sz w:val="24"/>
          <w:szCs w:val="24"/>
          <w:color w:val="auto"/>
        </w:rPr>
      </w:pPr>
    </w:p>
    <w:p>
      <w:pPr>
        <w:sectPr>
          <w:pgSz w:w="11900" w:h="16838" w:orient="portrait"/>
          <w:cols w:equalWidth="0" w:num="3">
            <w:col w:w="4520" w:space="720"/>
            <w:col w:w="3180" w:space="720"/>
            <w:col w:w="2200"/>
          </w:cols>
          <w:pgMar w:left="320" w:top="1440" w:right="239" w:bottom="1440" w:gutter="0" w:footer="0" w:header="0"/>
          <w:type w:val="continuous"/>
        </w:sectPr>
      </w:pPr>
    </w:p>
    <w:p>
      <w:pPr>
        <w:jc w:val="center"/>
        <w:ind w:right="1160"/>
        <w:spacing w:after="0"/>
        <w:rPr>
          <w:sz w:val="20"/>
          <w:szCs w:val="20"/>
          <w:color w:val="auto"/>
        </w:rPr>
      </w:pPr>
      <w:r>
        <w:rPr>
          <w:rFonts w:ascii="Arial" w:cs="Arial" w:eastAsia="Arial" w:hAnsi="Arial"/>
          <w:sz w:val="12"/>
          <w:szCs w:val="12"/>
          <w:color w:val="auto"/>
        </w:rPr>
        <w:t>(State or other jurisdiction</w:t>
      </w:r>
    </w:p>
    <w:p>
      <w:pPr>
        <w:spacing w:after="0" w:line="32" w:lineRule="exact"/>
        <w:rPr>
          <w:sz w:val="24"/>
          <w:szCs w:val="24"/>
          <w:color w:val="auto"/>
        </w:rPr>
      </w:pPr>
    </w:p>
    <w:p>
      <w:pPr>
        <w:jc w:val="center"/>
        <w:ind w:right="1160"/>
        <w:spacing w:after="0"/>
        <w:rPr>
          <w:sz w:val="20"/>
          <w:szCs w:val="20"/>
          <w:color w:val="auto"/>
        </w:rPr>
      </w:pPr>
      <w:r>
        <w:rPr>
          <w:rFonts w:ascii="Arial" w:cs="Arial" w:eastAsia="Arial" w:hAnsi="Arial"/>
          <w:sz w:val="14"/>
          <w:szCs w:val="14"/>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(Commission</w:t>
      </w:r>
    </w:p>
    <w:p>
      <w:pPr>
        <w:spacing w:after="0" w:line="20" w:lineRule="exact"/>
        <w:rPr>
          <w:sz w:val="24"/>
          <w:szCs w:val="24"/>
          <w:color w:val="auto"/>
        </w:rPr>
      </w:pPr>
    </w:p>
    <w:p>
      <w:pPr>
        <w:spacing w:after="0"/>
        <w:rPr>
          <w:sz w:val="20"/>
          <w:szCs w:val="20"/>
          <w:color w:val="auto"/>
        </w:rPr>
      </w:pPr>
      <w:r>
        <w:rPr>
          <w:rFonts w:ascii="Arial" w:cs="Arial" w:eastAsia="Arial" w:hAnsi="Arial"/>
          <w:sz w:val="13"/>
          <w:szCs w:val="13"/>
          <w:color w:val="auto"/>
        </w:rPr>
        <w:t>File Number)</w:t>
      </w:r>
    </w:p>
    <w:p>
      <w:pPr>
        <w:spacing w:after="0" w:line="20" w:lineRule="exact"/>
        <w:rPr>
          <w:sz w:val="24"/>
          <w:szCs w:val="24"/>
          <w:color w:val="auto"/>
        </w:rPr>
      </w:pPr>
      <w:r>
        <w:rPr>
          <w:sz w:val="24"/>
          <w:szCs w:val="24"/>
          <w:color w:val="auto"/>
        </w:rPr>
        <w:br w:type="column"/>
      </w:r>
    </w:p>
    <w:p>
      <w:pPr>
        <w:jc w:val="center"/>
        <w:ind w:right="1260"/>
        <w:spacing w:after="0"/>
        <w:rPr>
          <w:sz w:val="20"/>
          <w:szCs w:val="20"/>
          <w:color w:val="auto"/>
        </w:rPr>
      </w:pPr>
      <w:r>
        <w:rPr>
          <w:rFonts w:ascii="Arial" w:cs="Arial" w:eastAsia="Arial" w:hAnsi="Arial"/>
          <w:sz w:val="14"/>
          <w:szCs w:val="14"/>
          <w:color w:val="auto"/>
        </w:rPr>
        <w:t>(IRS Employer</w:t>
      </w:r>
    </w:p>
    <w:p>
      <w:pPr>
        <w:spacing w:after="0" w:line="9" w:lineRule="exact"/>
        <w:rPr>
          <w:sz w:val="24"/>
          <w:szCs w:val="24"/>
          <w:color w:val="auto"/>
        </w:rPr>
      </w:pPr>
    </w:p>
    <w:p>
      <w:pPr>
        <w:jc w:val="center"/>
        <w:ind w:right="1260"/>
        <w:spacing w:after="0"/>
        <w:rPr>
          <w:sz w:val="20"/>
          <w:szCs w:val="20"/>
          <w:color w:val="auto"/>
        </w:rPr>
      </w:pPr>
      <w:r>
        <w:rPr>
          <w:rFonts w:ascii="Arial" w:cs="Arial" w:eastAsia="Arial" w:hAnsi="Arial"/>
          <w:sz w:val="13"/>
          <w:szCs w:val="13"/>
          <w:color w:val="auto"/>
        </w:rPr>
        <w:t>Identification No.)</w:t>
      </w:r>
    </w:p>
    <w:p>
      <w:pPr>
        <w:spacing w:after="0" w:line="211" w:lineRule="exact"/>
        <w:rPr>
          <w:sz w:val="24"/>
          <w:szCs w:val="24"/>
          <w:color w:val="auto"/>
        </w:rPr>
      </w:pPr>
    </w:p>
    <w:p>
      <w:pPr>
        <w:sectPr>
          <w:pgSz w:w="11900" w:h="16838" w:orient="portrait"/>
          <w:cols w:equalWidth="0" w:num="3">
            <w:col w:w="4520" w:space="720"/>
            <w:col w:w="3080" w:space="720"/>
            <w:col w:w="2300"/>
          </w:cols>
          <w:pgMar w:left="320" w:top="1440" w:right="239" w:bottom="1440" w:gutter="0" w:footer="0" w:header="0"/>
          <w:type w:val="continuous"/>
        </w:sectPr>
      </w:pPr>
    </w:p>
    <w:p>
      <w:pPr>
        <w:spacing w:after="0" w:line="22" w:lineRule="exact"/>
        <w:rPr>
          <w:sz w:val="24"/>
          <w:szCs w:val="24"/>
          <w:color w:val="auto"/>
        </w:rPr>
      </w:pPr>
    </w:p>
    <w:p>
      <w:pPr>
        <w:ind w:left="4760"/>
        <w:spacing w:after="0"/>
        <w:rPr>
          <w:sz w:val="20"/>
          <w:szCs w:val="20"/>
          <w:color w:val="auto"/>
        </w:rPr>
      </w:pPr>
      <w:r>
        <w:rPr>
          <w:rFonts w:ascii="Arial" w:cs="Arial" w:eastAsia="Arial" w:hAnsi="Arial"/>
          <w:sz w:val="18"/>
          <w:szCs w:val="18"/>
          <w:b w:val="1"/>
          <w:bCs w:val="1"/>
          <w:color w:val="auto"/>
        </w:rPr>
        <w:t>350 Fifth Avenue, 20st Floor</w:t>
      </w:r>
    </w:p>
    <w:p>
      <w:pPr>
        <w:spacing w:after="0" w:line="21" w:lineRule="exact"/>
        <w:rPr>
          <w:sz w:val="24"/>
          <w:szCs w:val="24"/>
          <w:color w:val="auto"/>
        </w:rPr>
      </w:pPr>
    </w:p>
    <w:p>
      <w:pPr>
        <w:ind w:left="5040"/>
        <w:spacing w:after="0"/>
        <w:rPr>
          <w:sz w:val="20"/>
          <w:szCs w:val="20"/>
          <w:color w:val="auto"/>
        </w:rPr>
      </w:pPr>
      <w:r>
        <w:rPr>
          <w:rFonts w:ascii="Arial" w:cs="Arial" w:eastAsia="Arial" w:hAnsi="Arial"/>
          <w:sz w:val="18"/>
          <w:szCs w:val="18"/>
          <w:b w:val="1"/>
          <w:bCs w:val="1"/>
          <w:color w:val="auto"/>
        </w:rPr>
        <w:t>New York, NY 10118</w:t>
      </w:r>
    </w:p>
    <w:p>
      <w:pPr>
        <w:spacing w:after="0" w:line="4" w:lineRule="exact"/>
        <w:rPr>
          <w:sz w:val="24"/>
          <w:szCs w:val="24"/>
          <w:color w:val="auto"/>
        </w:rPr>
      </w:pPr>
    </w:p>
    <w:p>
      <w:pPr>
        <w:ind w:left="3740"/>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91" w:lineRule="exact"/>
        <w:rPr>
          <w:sz w:val="24"/>
          <w:szCs w:val="24"/>
          <w:color w:val="auto"/>
        </w:rPr>
      </w:pPr>
    </w:p>
    <w:p>
      <w:pPr>
        <w:ind w:left="5080"/>
        <w:spacing w:after="0"/>
        <w:rPr>
          <w:sz w:val="20"/>
          <w:szCs w:val="20"/>
          <w:color w:val="auto"/>
        </w:rPr>
      </w:pPr>
      <w:r>
        <w:rPr>
          <w:rFonts w:ascii="Arial" w:cs="Arial" w:eastAsia="Arial" w:hAnsi="Arial"/>
          <w:sz w:val="18"/>
          <w:szCs w:val="18"/>
          <w:b w:val="1"/>
          <w:bCs w:val="1"/>
          <w:color w:val="auto"/>
        </w:rPr>
        <w:t>(646) 710-3417</w:t>
      </w:r>
    </w:p>
    <w:p>
      <w:pPr>
        <w:spacing w:after="0" w:line="115" w:lineRule="exact"/>
        <w:rPr>
          <w:sz w:val="24"/>
          <w:szCs w:val="24"/>
          <w:color w:val="auto"/>
        </w:rPr>
      </w:pPr>
    </w:p>
    <w:p>
      <w:pPr>
        <w:ind w:left="3960"/>
        <w:spacing w:after="0"/>
        <w:rPr>
          <w:sz w:val="20"/>
          <w:szCs w:val="20"/>
          <w:color w:val="auto"/>
        </w:rPr>
      </w:pPr>
      <w:r>
        <w:rPr>
          <w:rFonts w:ascii="Arial" w:cs="Arial" w:eastAsia="Arial" w:hAnsi="Arial"/>
          <w:sz w:val="18"/>
          <w:szCs w:val="18"/>
          <w:color w:val="auto"/>
        </w:rPr>
        <w:t>(Registrant’s telephone number, including area code)</w:t>
      </w:r>
    </w:p>
    <w:p>
      <w:pPr>
        <w:spacing w:after="0" w:line="15" w:lineRule="exact"/>
        <w:rPr>
          <w:sz w:val="24"/>
          <w:szCs w:val="24"/>
          <w:color w:val="auto"/>
        </w:rPr>
      </w:pPr>
    </w:p>
    <w:p>
      <w:pPr>
        <w:jc w:val="center"/>
        <w:ind w:left="380"/>
        <w:spacing w:after="0"/>
        <w:rPr>
          <w:sz w:val="20"/>
          <w:szCs w:val="20"/>
          <w:color w:val="auto"/>
        </w:rPr>
      </w:pPr>
      <w:r>
        <w:rPr>
          <w:rFonts w:ascii="Arial" w:cs="Arial" w:eastAsia="Arial" w:hAnsi="Arial"/>
          <w:sz w:val="18"/>
          <w:szCs w:val="18"/>
          <w:color w:val="auto"/>
        </w:rPr>
        <w:t>Not applicable</w:t>
      </w:r>
    </w:p>
    <w:p>
      <w:pPr>
        <w:spacing w:after="0" w:line="4" w:lineRule="exact"/>
        <w:rPr>
          <w:sz w:val="24"/>
          <w:szCs w:val="24"/>
          <w:color w:val="auto"/>
        </w:rPr>
      </w:pPr>
    </w:p>
    <w:p>
      <w:pPr>
        <w:jc w:val="center"/>
        <w:ind w:left="380"/>
        <w:spacing w:after="0"/>
        <w:rPr>
          <w:sz w:val="20"/>
          <w:szCs w:val="20"/>
          <w:color w:val="auto"/>
        </w:rPr>
      </w:pPr>
      <w:r>
        <w:rPr>
          <w:rFonts w:ascii="Arial" w:cs="Arial" w:eastAsia="Arial" w:hAnsi="Arial"/>
          <w:sz w:val="15"/>
          <w:szCs w:val="15"/>
          <w:color w:val="auto"/>
        </w:rPr>
        <w:t>(Former name, former address and former fiscal year, if changed since last report)</w:t>
      </w:r>
    </w:p>
    <w:p>
      <w:pPr>
        <w:sectPr>
          <w:pgSz w:w="11900" w:h="16838" w:orient="portrait"/>
          <w:cols w:equalWidth="0" w:num="1">
            <w:col w:w="11340"/>
          </w:cols>
          <w:pgMar w:left="320" w:top="1440" w:right="239" w:bottom="1440" w:gutter="0" w:footer="0" w:header="0"/>
          <w:type w:val="continuous"/>
        </w:sectPr>
      </w:pPr>
    </w:p>
    <w:p>
      <w:pPr>
        <w:spacing w:after="0" w:line="38" w:lineRule="exact"/>
        <w:rPr>
          <w:sz w:val="24"/>
          <w:szCs w:val="24"/>
          <w:color w:val="auto"/>
        </w:rPr>
      </w:pPr>
    </w:p>
    <w:p>
      <w:pPr>
        <w:ind w:right="660" w:firstLine="395"/>
        <w:spacing w:after="0" w:line="24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13" w:lineRule="exact"/>
        <w:rPr>
          <w:sz w:val="24"/>
          <w:szCs w:val="24"/>
          <w:color w:val="auto"/>
        </w:rPr>
      </w:pPr>
    </w:p>
    <w:p>
      <w:pPr>
        <w:ind w:left="940" w:hanging="522"/>
        <w:spacing w:after="0"/>
        <w:tabs>
          <w:tab w:leader="none" w:pos="9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30" w:lineRule="exact"/>
        <w:rPr>
          <w:rFonts w:ascii="MS PGothic" w:cs="MS PGothic" w:eastAsia="MS PGothic" w:hAnsi="MS PGothic"/>
          <w:sz w:val="18"/>
          <w:szCs w:val="18"/>
          <w:color w:val="auto"/>
        </w:rPr>
      </w:pPr>
    </w:p>
    <w:p>
      <w:pPr>
        <w:ind w:left="940" w:hanging="522"/>
        <w:spacing w:after="0"/>
        <w:tabs>
          <w:tab w:leader="none" w:pos="9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6" w:lineRule="exact"/>
        <w:rPr>
          <w:rFonts w:ascii="MS PGothic" w:cs="MS PGothic" w:eastAsia="MS PGothic" w:hAnsi="MS PGothic"/>
          <w:sz w:val="18"/>
          <w:szCs w:val="18"/>
          <w:color w:val="auto"/>
        </w:rPr>
      </w:pPr>
    </w:p>
    <w:p>
      <w:pPr>
        <w:ind w:left="940" w:hanging="522"/>
        <w:spacing w:after="0"/>
        <w:tabs>
          <w:tab w:leader="none" w:pos="9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6" w:lineRule="exact"/>
        <w:rPr>
          <w:rFonts w:ascii="MS PGothic" w:cs="MS PGothic" w:eastAsia="MS PGothic" w:hAnsi="MS PGothic"/>
          <w:sz w:val="18"/>
          <w:szCs w:val="18"/>
          <w:color w:val="auto"/>
        </w:rPr>
      </w:pPr>
    </w:p>
    <w:p>
      <w:pPr>
        <w:ind w:left="940" w:hanging="522"/>
        <w:spacing w:after="0"/>
        <w:tabs>
          <w:tab w:leader="none" w:pos="9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98" w:lineRule="exact"/>
        <w:rPr>
          <w:sz w:val="24"/>
          <w:szCs w:val="24"/>
          <w:color w:val="auto"/>
        </w:rPr>
      </w:pPr>
    </w:p>
    <w:p>
      <w:pPr>
        <w:ind w:left="3260"/>
        <w:spacing w:after="0"/>
        <w:rPr>
          <w:sz w:val="20"/>
          <w:szCs w:val="20"/>
          <w:color w:val="auto"/>
        </w:rPr>
      </w:pPr>
      <w:r>
        <w:rPr>
          <w:rFonts w:ascii="Arial" w:cs="Arial" w:eastAsia="Arial" w:hAnsi="Arial"/>
          <w:sz w:val="14"/>
          <w:szCs w:val="14"/>
          <w:b w:val="1"/>
          <w:bCs w:val="1"/>
          <w:color w:val="auto"/>
        </w:rPr>
        <w:t>Securities registered pursuant to Section 12(b) of the Act:</w:t>
      </w:r>
    </w:p>
    <w:p>
      <w:pPr>
        <w:spacing w:after="0" w:line="26" w:lineRule="exact"/>
        <w:rPr>
          <w:sz w:val="24"/>
          <w:szCs w:val="24"/>
          <w:color w:val="auto"/>
        </w:rPr>
      </w:pPr>
    </w:p>
    <w:tbl>
      <w:tblPr>
        <w:tblLayout w:type="fixed"/>
        <w:tblInd w:w="400" w:type="dxa"/>
        <w:tblCellMar>
          <w:top w:w="0" w:type="dxa"/>
          <w:left w:w="0" w:type="dxa"/>
          <w:bottom w:w="0" w:type="dxa"/>
          <w:right w:w="0" w:type="dxa"/>
        </w:tblCellMar>
      </w:tblPr>
      <w:tr>
        <w:trPr>
          <w:trHeight w:val="204"/>
        </w:trPr>
        <w:tc>
          <w:tcPr>
            <w:tcW w:w="3840" w:type="dxa"/>
            <w:vAlign w:val="bottom"/>
            <w:tcBorders>
              <w:top w:val="single" w:sz="8" w:color="auto"/>
              <w:bottom w:val="single" w:sz="8" w:color="auto"/>
            </w:tcBorders>
          </w:tcPr>
          <w:p>
            <w:pPr>
              <w:jc w:val="center"/>
              <w:ind w:left="250"/>
              <w:spacing w:after="0"/>
              <w:rPr>
                <w:sz w:val="20"/>
                <w:szCs w:val="20"/>
                <w:color w:val="auto"/>
              </w:rPr>
            </w:pPr>
            <w:r>
              <w:rPr>
                <w:rFonts w:ascii="Arial" w:cs="Arial" w:eastAsia="Arial" w:hAnsi="Arial"/>
                <w:sz w:val="14"/>
                <w:szCs w:val="14"/>
                <w:b w:val="1"/>
                <w:bCs w:val="1"/>
                <w:color w:val="auto"/>
                <w:w w:val="85"/>
              </w:rPr>
              <w:t>Class</w:t>
            </w:r>
          </w:p>
        </w:tc>
        <w:tc>
          <w:tcPr>
            <w:tcW w:w="1820" w:type="dxa"/>
            <w:vAlign w:val="bottom"/>
            <w:tcBorders>
              <w:top w:val="single" w:sz="8" w:color="auto"/>
              <w:bottom w:val="single" w:sz="8" w:color="auto"/>
            </w:tcBorders>
          </w:tcPr>
          <w:p>
            <w:pPr>
              <w:jc w:val="center"/>
              <w:ind w:left="90"/>
              <w:spacing w:after="0"/>
              <w:rPr>
                <w:sz w:val="20"/>
                <w:szCs w:val="20"/>
                <w:color w:val="auto"/>
              </w:rPr>
            </w:pPr>
            <w:r>
              <w:rPr>
                <w:rFonts w:ascii="Arial" w:cs="Arial" w:eastAsia="Arial" w:hAnsi="Arial"/>
                <w:sz w:val="14"/>
                <w:szCs w:val="14"/>
                <w:b w:val="1"/>
                <w:bCs w:val="1"/>
                <w:color w:val="auto"/>
                <w:w w:val="90"/>
              </w:rPr>
              <w:t>Trading symbol</w:t>
            </w:r>
          </w:p>
        </w:tc>
        <w:tc>
          <w:tcPr>
            <w:tcW w:w="3480" w:type="dxa"/>
            <w:vAlign w:val="bottom"/>
            <w:tcBorders>
              <w:top w:val="single" w:sz="8" w:color="auto"/>
              <w:bottom w:val="single" w:sz="8" w:color="auto"/>
            </w:tcBorders>
          </w:tcPr>
          <w:p>
            <w:pPr>
              <w:jc w:val="center"/>
              <w:ind w:right="70"/>
              <w:spacing w:after="0"/>
              <w:rPr>
                <w:sz w:val="20"/>
                <w:szCs w:val="20"/>
                <w:color w:val="auto"/>
              </w:rPr>
            </w:pPr>
            <w:r>
              <w:rPr>
                <w:rFonts w:ascii="Arial" w:cs="Arial" w:eastAsia="Arial" w:hAnsi="Arial"/>
                <w:sz w:val="14"/>
                <w:szCs w:val="14"/>
                <w:b w:val="1"/>
                <w:bCs w:val="1"/>
                <w:color w:val="auto"/>
                <w:w w:val="88"/>
              </w:rPr>
              <w:t>Name of each exchange on which registered</w:t>
            </w:r>
          </w:p>
        </w:tc>
      </w:tr>
      <w:tr>
        <w:trPr>
          <w:trHeight w:val="183"/>
        </w:trPr>
        <w:tc>
          <w:tcPr>
            <w:tcW w:w="3840" w:type="dxa"/>
            <w:vAlign w:val="bottom"/>
          </w:tcPr>
          <w:p>
            <w:pPr>
              <w:jc w:val="center"/>
              <w:ind w:left="250"/>
              <w:spacing w:after="0"/>
              <w:rPr>
                <w:sz w:val="20"/>
                <w:szCs w:val="20"/>
                <w:color w:val="auto"/>
              </w:rPr>
            </w:pPr>
            <w:r>
              <w:rPr>
                <w:rFonts w:ascii="Arial" w:cs="Arial" w:eastAsia="Arial" w:hAnsi="Arial"/>
                <w:sz w:val="14"/>
                <w:szCs w:val="14"/>
                <w:b w:val="1"/>
                <w:bCs w:val="1"/>
                <w:color w:val="auto"/>
                <w:w w:val="90"/>
              </w:rPr>
              <w:t>Common Stock, $0.01 par value per share</w:t>
            </w:r>
          </w:p>
        </w:tc>
        <w:tc>
          <w:tcPr>
            <w:tcW w:w="1820" w:type="dxa"/>
            <w:vAlign w:val="bottom"/>
          </w:tcPr>
          <w:p>
            <w:pPr>
              <w:jc w:val="center"/>
              <w:ind w:left="110"/>
              <w:spacing w:after="0"/>
              <w:rPr>
                <w:sz w:val="20"/>
                <w:szCs w:val="20"/>
                <w:color w:val="auto"/>
              </w:rPr>
            </w:pPr>
            <w:r>
              <w:rPr>
                <w:rFonts w:ascii="Arial" w:cs="Arial" w:eastAsia="Arial" w:hAnsi="Arial"/>
                <w:sz w:val="14"/>
                <w:szCs w:val="14"/>
                <w:b w:val="1"/>
                <w:bCs w:val="1"/>
                <w:color w:val="auto"/>
                <w:w w:val="96"/>
              </w:rPr>
              <w:t>SSTK</w:t>
            </w:r>
          </w:p>
        </w:tc>
        <w:tc>
          <w:tcPr>
            <w:tcW w:w="3480" w:type="dxa"/>
            <w:vAlign w:val="bottom"/>
          </w:tcPr>
          <w:p>
            <w:pPr>
              <w:jc w:val="center"/>
              <w:ind w:right="70"/>
              <w:spacing w:after="0"/>
              <w:rPr>
                <w:sz w:val="20"/>
                <w:szCs w:val="20"/>
                <w:color w:val="auto"/>
              </w:rPr>
            </w:pPr>
            <w:r>
              <w:rPr>
                <w:rFonts w:ascii="Arial" w:cs="Arial" w:eastAsia="Arial" w:hAnsi="Arial"/>
                <w:sz w:val="14"/>
                <w:szCs w:val="14"/>
                <w:b w:val="1"/>
                <w:bCs w:val="1"/>
                <w:color w:val="auto"/>
                <w:w w:val="89"/>
              </w:rPr>
              <w:t>New York Stock Exchange</w:t>
            </w:r>
          </w:p>
        </w:tc>
      </w:tr>
    </w:tbl>
    <w:p>
      <w:pPr>
        <w:spacing w:after="0" w:line="134" w:lineRule="exact"/>
        <w:rPr>
          <w:sz w:val="24"/>
          <w:szCs w:val="24"/>
          <w:color w:val="auto"/>
        </w:rPr>
      </w:pPr>
    </w:p>
    <w:p>
      <w:pPr>
        <w:ind w:left="900"/>
        <w:spacing w:after="0" w:line="228"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67" w:lineRule="exact"/>
        <w:rPr>
          <w:sz w:val="24"/>
          <w:szCs w:val="24"/>
          <w:color w:val="auto"/>
        </w:rPr>
      </w:pPr>
    </w:p>
    <w:p>
      <w:pPr>
        <w:ind w:left="900" w:hanging="482"/>
        <w:spacing w:after="0"/>
        <w:tabs>
          <w:tab w:leader="none" w:pos="90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Emerging growth company</w:t>
      </w:r>
    </w:p>
    <w:p>
      <w:pPr>
        <w:spacing w:after="0" w:line="69" w:lineRule="exact"/>
        <w:rPr>
          <w:rFonts w:ascii="MS PGothic" w:cs="MS PGothic" w:eastAsia="MS PGothic" w:hAnsi="MS PGothic"/>
          <w:sz w:val="18"/>
          <w:szCs w:val="18"/>
          <w:color w:val="auto"/>
        </w:rPr>
      </w:pPr>
    </w:p>
    <w:p>
      <w:pPr>
        <w:ind w:left="900" w:hanging="482"/>
        <w:spacing w:after="0" w:line="228" w:lineRule="auto"/>
        <w:tabs>
          <w:tab w:leader="none" w:pos="90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1667510</wp:posOffset>
            </wp:positionV>
            <wp:extent cx="716089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895" cy="41910"/>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292735</wp:posOffset>
            </wp:positionV>
            <wp:extent cx="6946900" cy="165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46900" cy="16510"/>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267970</wp:posOffset>
            </wp:positionV>
            <wp:extent cx="69469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46900" cy="8255"/>
                    </a:xfrm>
                    <a:prstGeom prst="rect">
                      <a:avLst/>
                    </a:prstGeom>
                    <a:noFill/>
                  </pic:spPr>
                </pic:pic>
              </a:graphicData>
            </a:graphic>
          </wp:anchor>
        </w:drawing>
      </w:r>
    </w:p>
    <w:p>
      <w:pPr>
        <w:sectPr>
          <w:pgSz w:w="11900" w:h="16838" w:orient="portrait"/>
          <w:cols w:equalWidth="0" w:num="1">
            <w:col w:w="11340"/>
          </w:cols>
          <w:pgMar w:left="320" w:top="1440" w:right="239" w:bottom="1440" w:gutter="0" w:footer="0" w:header="0"/>
          <w:type w:val="continuous"/>
        </w:sectPr>
      </w:pPr>
    </w:p>
    <w:bookmarkStart w:id="1" w:name="page2"/>
    <w:bookmarkEnd w:id="1"/>
    <w:p>
      <w:pPr>
        <w:ind w:left="420"/>
        <w:spacing w:after="0"/>
        <w:tabs>
          <w:tab w:leader="none" w:pos="156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5"/>
          <w:szCs w:val="15"/>
          <w:b w:val="1"/>
          <w:bCs w:val="1"/>
          <w:color w:val="auto"/>
        </w:rPr>
        <w:t>Other Events.</w:t>
      </w:r>
    </w:p>
    <w:p>
      <w:pPr>
        <w:spacing w:after="0" w:line="207" w:lineRule="exact"/>
        <w:rPr>
          <w:sz w:val="20"/>
          <w:szCs w:val="20"/>
          <w:color w:val="auto"/>
        </w:rPr>
      </w:pPr>
    </w:p>
    <w:p>
      <w:pPr>
        <w:ind w:firstLine="395"/>
        <w:spacing w:after="0" w:line="261" w:lineRule="auto"/>
        <w:rPr>
          <w:sz w:val="20"/>
          <w:szCs w:val="20"/>
          <w:color w:val="auto"/>
        </w:rPr>
      </w:pPr>
      <w:r>
        <w:rPr>
          <w:rFonts w:ascii="Arial" w:cs="Arial" w:eastAsia="Arial" w:hAnsi="Arial"/>
          <w:sz w:val="18"/>
          <w:szCs w:val="18"/>
          <w:color w:val="auto"/>
        </w:rPr>
        <w:t>On October 23, 2023, the Board of Directors of the Company, declared a cash dividend of $0.27 per common share for shareholders of record as of November 30, 2023, payable on December 14, 2023.</w:t>
      </w:r>
    </w:p>
    <w:p>
      <w:pPr>
        <w:spacing w:after="0" w:line="200" w:lineRule="exact"/>
        <w:rPr>
          <w:sz w:val="20"/>
          <w:szCs w:val="20"/>
          <w:color w:val="auto"/>
        </w:rPr>
      </w:pPr>
    </w:p>
    <w:p>
      <w:pPr>
        <w:spacing w:after="0" w:line="310" w:lineRule="exact"/>
        <w:rPr>
          <w:sz w:val="20"/>
          <w:szCs w:val="20"/>
          <w:color w:val="auto"/>
        </w:rPr>
      </w:pPr>
    </w:p>
    <w:p>
      <w:pPr>
        <w:ind w:left="40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130810</wp:posOffset>
            </wp:positionV>
            <wp:extent cx="716089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0720"/>
          </w:cols>
          <w:pgMar w:left="320" w:top="1016" w:right="859" w:bottom="1440" w:gutter="0" w:footer="0" w:header="0"/>
        </w:sectPr>
      </w:pPr>
    </w:p>
    <w:bookmarkStart w:id="2" w:name="page3"/>
    <w:bookmarkEnd w:id="2"/>
    <w:p>
      <w:pPr>
        <w:spacing w:after="0" w:line="50"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SIGNATURE</w:t>
      </w:r>
    </w:p>
    <w:p>
      <w:pPr>
        <w:spacing w:after="0" w:line="21" w:lineRule="exact"/>
        <w:rPr>
          <w:sz w:val="20"/>
          <w:szCs w:val="20"/>
          <w:color w:val="auto"/>
        </w:rPr>
      </w:pPr>
    </w:p>
    <w:p>
      <w:pPr>
        <w:ind w:right="880" w:firstLine="439"/>
        <w:spacing w:after="0" w:line="24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20" w:lineRule="exact"/>
        <w:rPr>
          <w:sz w:val="20"/>
          <w:szCs w:val="20"/>
          <w:color w:val="auto"/>
        </w:rPr>
      </w:pPr>
    </w:p>
    <w:tbl>
      <w:tblPr>
        <w:tblLayout w:type="fixed"/>
        <w:tblInd w:w="420" w:type="dxa"/>
        <w:tblCellMar>
          <w:top w:w="0" w:type="dxa"/>
          <w:left w:w="0" w:type="dxa"/>
          <w:bottom w:w="0" w:type="dxa"/>
          <w:right w:w="0" w:type="dxa"/>
        </w:tblCellMar>
      </w:tblPr>
      <w:tr>
        <w:trPr>
          <w:trHeight w:val="228"/>
        </w:trPr>
        <w:tc>
          <w:tcPr>
            <w:tcW w:w="3180" w:type="dxa"/>
            <w:vAlign w:val="bottom"/>
          </w:tcPr>
          <w:p>
            <w:pPr>
              <w:spacing w:after="0"/>
              <w:rPr>
                <w:sz w:val="19"/>
                <w:szCs w:val="19"/>
                <w:color w:val="auto"/>
              </w:rPr>
            </w:pPr>
          </w:p>
        </w:tc>
        <w:tc>
          <w:tcPr>
            <w:tcW w:w="7740" w:type="dxa"/>
            <w:vAlign w:val="bottom"/>
            <w:gridSpan w:val="2"/>
          </w:tcPr>
          <w:p>
            <w:pPr>
              <w:ind w:left="1460"/>
              <w:spacing w:after="0"/>
              <w:rPr>
                <w:sz w:val="20"/>
                <w:szCs w:val="20"/>
                <w:color w:val="auto"/>
              </w:rPr>
            </w:pPr>
            <w:r>
              <w:rPr>
                <w:rFonts w:ascii="Arial" w:cs="Arial" w:eastAsia="Arial" w:hAnsi="Arial"/>
                <w:sz w:val="18"/>
                <w:szCs w:val="18"/>
                <w:b w:val="1"/>
                <w:bCs w:val="1"/>
                <w:color w:val="auto"/>
              </w:rPr>
              <w:t>SHUTTERSTOCK, INC.</w:t>
            </w:r>
          </w:p>
        </w:tc>
      </w:tr>
      <w:tr>
        <w:trPr>
          <w:trHeight w:val="369"/>
        </w:trPr>
        <w:tc>
          <w:tcPr>
            <w:tcW w:w="3180" w:type="dxa"/>
            <w:vAlign w:val="bottom"/>
          </w:tcPr>
          <w:p>
            <w:pPr>
              <w:spacing w:after="0"/>
              <w:rPr>
                <w:sz w:val="20"/>
                <w:szCs w:val="20"/>
                <w:color w:val="auto"/>
              </w:rPr>
            </w:pPr>
            <w:r>
              <w:rPr>
                <w:rFonts w:ascii="Arial" w:cs="Arial" w:eastAsia="Arial" w:hAnsi="Arial"/>
                <w:sz w:val="18"/>
                <w:szCs w:val="18"/>
                <w:color w:val="auto"/>
              </w:rPr>
              <w:t>Dated: October 24, 2023</w:t>
            </w:r>
          </w:p>
        </w:tc>
        <w:tc>
          <w:tcPr>
            <w:tcW w:w="2060" w:type="dxa"/>
            <w:vAlign w:val="bottom"/>
          </w:tcPr>
          <w:p>
            <w:pPr>
              <w:ind w:left="1460"/>
              <w:spacing w:after="0"/>
              <w:rPr>
                <w:sz w:val="20"/>
                <w:szCs w:val="20"/>
                <w:color w:val="auto"/>
              </w:rPr>
            </w:pPr>
            <w:r>
              <w:rPr>
                <w:rFonts w:ascii="Arial" w:cs="Arial" w:eastAsia="Arial" w:hAnsi="Arial"/>
                <w:sz w:val="18"/>
                <w:szCs w:val="18"/>
                <w:color w:val="auto"/>
              </w:rPr>
              <w:t>By:</w:t>
            </w:r>
          </w:p>
        </w:tc>
        <w:tc>
          <w:tcPr>
            <w:tcW w:w="5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Jarrod Yahes</w:t>
            </w:r>
          </w:p>
        </w:tc>
      </w:tr>
      <w:tr>
        <w:trPr>
          <w:trHeight w:val="217"/>
        </w:trPr>
        <w:tc>
          <w:tcPr>
            <w:tcW w:w="31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Jarrod Yahes</w:t>
            </w:r>
          </w:p>
        </w:tc>
      </w:tr>
      <w:tr>
        <w:trPr>
          <w:trHeight w:val="224"/>
        </w:trPr>
        <w:tc>
          <w:tcPr>
            <w:tcW w:w="318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3</w:t>
      </w:r>
    </w:p>
    <w:sectPr>
      <w:pgSz w:w="11900" w:h="16838" w:orient="portrait"/>
      <w:cols w:equalWidth="0" w:num="1">
        <w:col w:w="11340"/>
      </w:cols>
      <w:pgMar w:left="320" w:top="144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2023-10-24T15:59:15Z</dcterms:created>
  <dcterms:modified xsi:type="dcterms:W3CDTF">2023-10-24T15:59:15Z</dcterms:modified>
</cp:coreProperties>
</file>