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660" w:hanging="247"/>
        <w:spacing w:after="0"/>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4" w:lineRule="exact"/>
        <w:rPr>
          <w:rFonts w:ascii="Arial" w:cs="Arial" w:eastAsia="Arial" w:hAnsi="Arial"/>
          <w:sz w:val="16"/>
          <w:szCs w:val="16"/>
          <w:b w:val="1"/>
          <w:bCs w:val="1"/>
          <w:color w:val="auto"/>
        </w:rPr>
      </w:pPr>
    </w:p>
    <w:p>
      <w:pPr>
        <w:ind w:left="41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860" w:hanging="447"/>
        <w:spacing w:after="0"/>
        <w:tabs>
          <w:tab w:leader="none" w:pos="8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109"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580" w:space="440"/>
            <w:col w:w="4400"/>
          </w:cols>
          <w:pgMar w:left="240" w:top="233" w:right="239" w:bottom="1440" w:gutter="0" w:footer="0" w:header="0"/>
          <w:type w:val="continuous"/>
        </w:sectPr>
      </w:pPr>
    </w:p>
    <w:p>
      <w:pPr>
        <w:jc w:val="center"/>
        <w:ind w:left="400"/>
        <w:spacing w:after="0"/>
        <w:rPr>
          <w:sz w:val="20"/>
          <w:szCs w:val="20"/>
          <w:color w:val="auto"/>
        </w:rPr>
      </w:pPr>
      <w:r>
        <w:rPr>
          <w:rFonts w:ascii="Arial" w:cs="Arial" w:eastAsia="Arial" w:hAnsi="Arial"/>
          <w:sz w:val="16"/>
          <w:szCs w:val="16"/>
          <w:b w:val="1"/>
          <w:bCs w:val="1"/>
          <w:color w:val="auto"/>
        </w:rPr>
        <w:t>Commission File Number: 001-35669</w:t>
      </w:r>
    </w:p>
    <w:p>
      <w:pPr>
        <w:sectPr>
          <w:pgSz w:w="11900" w:h="16838" w:orient="portrait"/>
          <w:cols w:equalWidth="0" w:num="1">
            <w:col w:w="11420"/>
          </w:cols>
          <w:pgMar w:left="240" w:top="233" w:right="239" w:bottom="1440" w:gutter="0" w:footer="0" w:header="0"/>
          <w:type w:val="continuous"/>
        </w:sectPr>
      </w:pPr>
    </w:p>
    <w:p>
      <w:pPr>
        <w:spacing w:after="0" w:line="144" w:lineRule="exact"/>
        <w:rPr>
          <w:sz w:val="24"/>
          <w:szCs w:val="24"/>
          <w:color w:val="auto"/>
        </w:rPr>
      </w:pPr>
    </w:p>
    <w:p>
      <w:pPr>
        <w:ind w:left="3280"/>
        <w:spacing w:after="0"/>
        <w:rPr>
          <w:sz w:val="20"/>
          <w:szCs w:val="20"/>
          <w:color w:val="auto"/>
        </w:rPr>
      </w:pPr>
      <w:r>
        <w:rPr>
          <w:rFonts w:ascii="Arial" w:cs="Arial" w:eastAsia="Arial" w:hAnsi="Arial"/>
          <w:sz w:val="16"/>
          <w:szCs w:val="16"/>
          <w:color w:val="auto"/>
        </w:rPr>
        <w:t>___________________________________________________________</w:t>
      </w:r>
    </w:p>
    <w:p>
      <w:pPr>
        <w:spacing w:after="0" w:line="122" w:lineRule="exact"/>
        <w:rPr>
          <w:sz w:val="24"/>
          <w:szCs w:val="24"/>
          <w:color w:val="auto"/>
        </w:rPr>
      </w:pPr>
    </w:p>
    <w:p>
      <w:pPr>
        <w:jc w:val="center"/>
        <w:ind w:left="400"/>
        <w:spacing w:after="0"/>
        <w:rPr>
          <w:sz w:val="20"/>
          <w:szCs w:val="20"/>
          <w:color w:val="auto"/>
        </w:rPr>
      </w:pPr>
      <w:r>
        <w:rPr>
          <w:rFonts w:ascii="Arial" w:cs="Arial" w:eastAsia="Arial" w:hAnsi="Arial"/>
          <w:sz w:val="29"/>
          <w:szCs w:val="29"/>
          <w:b w:val="1"/>
          <w:bCs w:val="1"/>
          <w:color w:val="auto"/>
        </w:rPr>
        <w:t>SHUTTERSTOCK, INC.</w:t>
      </w:r>
    </w:p>
    <w:p>
      <w:pPr>
        <w:spacing w:after="0" w:line="38"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280"/>
        <w:spacing w:after="0"/>
        <w:rPr>
          <w:sz w:val="20"/>
          <w:szCs w:val="20"/>
          <w:color w:val="auto"/>
        </w:rPr>
      </w:pPr>
      <w:r>
        <w:rPr>
          <w:rFonts w:ascii="Arial" w:cs="Arial" w:eastAsia="Arial" w:hAnsi="Arial"/>
          <w:sz w:val="16"/>
          <w:szCs w:val="16"/>
          <w:color w:val="auto"/>
        </w:rPr>
        <w:t>___________________________________________________________</w:t>
      </w:r>
    </w:p>
    <w:p>
      <w:pPr>
        <w:sectPr>
          <w:pgSz w:w="11900" w:h="16838" w:orient="portrait"/>
          <w:cols w:equalWidth="0" w:num="1">
            <w:col w:w="11420"/>
          </w:cols>
          <w:pgMar w:left="240" w:top="233" w:right="239" w:bottom="1440" w:gutter="0" w:footer="0" w:header="0"/>
          <w:type w:val="continuous"/>
        </w:sectPr>
      </w:pPr>
    </w:p>
    <w:p>
      <w:pPr>
        <w:spacing w:after="0" w:line="288"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80-0812659</w:t>
      </w:r>
    </w:p>
    <w:p>
      <w:pPr>
        <w:spacing w:after="0" w:line="90" w:lineRule="exact"/>
        <w:rPr>
          <w:sz w:val="24"/>
          <w:szCs w:val="24"/>
          <w:color w:val="auto"/>
        </w:rPr>
      </w:pPr>
    </w:p>
    <w:p>
      <w:pPr>
        <w:sectPr>
          <w:pgSz w:w="11900" w:h="16838" w:orient="portrait"/>
          <w:cols w:equalWidth="0" w:num="2">
            <w:col w:w="7580" w:space="720"/>
            <w:col w:w="3120"/>
          </w:cols>
          <w:pgMar w:left="240" w:top="233" w:right="239" w:bottom="1440" w:gutter="0" w:footer="0" w:header="0"/>
          <w:type w:val="continuous"/>
        </w:sectPr>
      </w:pPr>
    </w:p>
    <w:p>
      <w:pPr>
        <w:ind w:left="192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18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123" w:lineRule="exact"/>
        <w:rPr>
          <w:sz w:val="24"/>
          <w:szCs w:val="24"/>
          <w:color w:val="auto"/>
        </w:rPr>
      </w:pPr>
    </w:p>
    <w:p>
      <w:pPr>
        <w:sectPr>
          <w:pgSz w:w="11900" w:h="16838" w:orient="portrait"/>
          <w:cols w:equalWidth="0" w:num="2">
            <w:col w:w="7420" w:space="720"/>
            <w:col w:w="3280"/>
          </w:cols>
          <w:pgMar w:left="240" w:top="233" w:right="239" w:bottom="1440" w:gutter="0" w:footer="0" w:header="0"/>
          <w:type w:val="continuous"/>
        </w:sectPr>
      </w:pPr>
    </w:p>
    <w:p>
      <w:pPr>
        <w:jc w:val="center"/>
        <w:ind w:left="42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4"/>
          <w:szCs w:val="24"/>
          <w:color w:val="auto"/>
        </w:rPr>
      </w:pPr>
    </w:p>
    <w:p>
      <w:pPr>
        <w:jc w:val="center"/>
        <w:ind w:left="420"/>
        <w:spacing w:after="0"/>
        <w:rPr>
          <w:sz w:val="20"/>
          <w:szCs w:val="20"/>
          <w:color w:val="auto"/>
        </w:rPr>
      </w:pPr>
      <w:r>
        <w:rPr>
          <w:rFonts w:ascii="Arial" w:cs="Arial" w:eastAsia="Arial" w:hAnsi="Arial"/>
          <w:sz w:val="18"/>
          <w:szCs w:val="18"/>
          <w:b w:val="1"/>
          <w:bCs w:val="1"/>
          <w:color w:val="auto"/>
        </w:rPr>
        <w:t>350 Fifth Avenue, 21st Floor</w:t>
      </w:r>
    </w:p>
    <w:p>
      <w:pPr>
        <w:spacing w:after="0" w:line="9" w:lineRule="exact"/>
        <w:rPr>
          <w:sz w:val="24"/>
          <w:szCs w:val="24"/>
          <w:color w:val="auto"/>
        </w:rPr>
      </w:pPr>
    </w:p>
    <w:p>
      <w:pPr>
        <w:jc w:val="center"/>
        <w:ind w:left="420"/>
        <w:spacing w:after="0"/>
        <w:rPr>
          <w:sz w:val="20"/>
          <w:szCs w:val="20"/>
          <w:color w:val="auto"/>
        </w:rPr>
      </w:pPr>
      <w:r>
        <w:rPr>
          <w:rFonts w:ascii="Arial" w:cs="Arial" w:eastAsia="Arial" w:hAnsi="Arial"/>
          <w:sz w:val="18"/>
          <w:szCs w:val="18"/>
          <w:b w:val="1"/>
          <w:bCs w:val="1"/>
          <w:color w:val="auto"/>
        </w:rPr>
        <w:t>New York, NY 10118</w:t>
      </w:r>
    </w:p>
    <w:p>
      <w:pPr>
        <w:spacing w:after="0" w:line="9" w:lineRule="exact"/>
        <w:rPr>
          <w:sz w:val="24"/>
          <w:szCs w:val="24"/>
          <w:color w:val="auto"/>
        </w:rPr>
      </w:pPr>
    </w:p>
    <w:p>
      <w:pPr>
        <w:jc w:val="center"/>
        <w:ind w:left="42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22" w:lineRule="exact"/>
        <w:rPr>
          <w:sz w:val="24"/>
          <w:szCs w:val="24"/>
          <w:color w:val="auto"/>
        </w:rPr>
      </w:pPr>
    </w:p>
    <w:p>
      <w:pPr>
        <w:jc w:val="center"/>
        <w:ind w:left="420"/>
        <w:spacing w:after="0"/>
        <w:rPr>
          <w:sz w:val="20"/>
          <w:szCs w:val="20"/>
          <w:color w:val="auto"/>
        </w:rPr>
      </w:pPr>
      <w:r>
        <w:rPr>
          <w:rFonts w:ascii="Arial" w:cs="Arial" w:eastAsia="Arial" w:hAnsi="Arial"/>
          <w:sz w:val="18"/>
          <w:szCs w:val="18"/>
          <w:b w:val="1"/>
          <w:bCs w:val="1"/>
          <w:color w:val="auto"/>
        </w:rPr>
        <w:t>(646) 766-1855</w:t>
      </w:r>
    </w:p>
    <w:p>
      <w:pPr>
        <w:spacing w:after="0" w:line="27" w:lineRule="exact"/>
        <w:rPr>
          <w:sz w:val="24"/>
          <w:szCs w:val="24"/>
          <w:color w:val="auto"/>
        </w:rPr>
      </w:pPr>
    </w:p>
    <w:p>
      <w:pPr>
        <w:jc w:val="center"/>
        <w:ind w:left="420"/>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420"/>
          </w:cols>
          <w:pgMar w:left="240" w:top="233" w:right="239" w:bottom="1440" w:gutter="0" w:footer="0" w:header="0"/>
          <w:type w:val="continuous"/>
        </w:sectPr>
      </w:pPr>
    </w:p>
    <w:p>
      <w:pPr>
        <w:spacing w:after="0" w:line="9"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07" w:lineRule="exact"/>
        <w:rPr>
          <w:sz w:val="24"/>
          <w:szCs w:val="24"/>
          <w:color w:val="auto"/>
        </w:rPr>
      </w:pPr>
    </w:p>
    <w:p>
      <w:pPr>
        <w:ind w:right="180" w:firstLine="405"/>
        <w:spacing w:after="0" w:line="261" w:lineRule="auto"/>
        <w:rPr>
          <w:sz w:val="20"/>
          <w:szCs w:val="20"/>
          <w:color w:val="auto"/>
        </w:rPr>
      </w:pPr>
      <w:r>
        <w:rPr>
          <w:rFonts w:ascii="Arial" w:cs="Arial" w:eastAsia="Arial" w:hAnsi="Arial"/>
          <w:sz w:val="16"/>
          <w:szCs w:val="16"/>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75" w:lineRule="exact"/>
        <w:rPr>
          <w:sz w:val="24"/>
          <w:szCs w:val="24"/>
          <w:color w:val="auto"/>
        </w:rPr>
      </w:pPr>
    </w:p>
    <w:p>
      <w:pPr>
        <w:ind w:right="400" w:firstLine="405"/>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75" w:lineRule="exact"/>
        <w:rPr>
          <w:sz w:val="24"/>
          <w:szCs w:val="24"/>
          <w:color w:val="auto"/>
        </w:rPr>
      </w:pPr>
    </w:p>
    <w:p>
      <w:pPr>
        <w:ind w:right="120" w:firstLine="40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227" w:lineRule="exact"/>
        <w:rPr>
          <w:sz w:val="24"/>
          <w:szCs w:val="24"/>
          <w:color w:val="auto"/>
        </w:rPr>
      </w:pPr>
    </w:p>
    <w:p>
      <w:pPr>
        <w:ind w:left="196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0" w:lineRule="exact"/>
        <w:rPr>
          <w:sz w:val="24"/>
          <w:szCs w:val="24"/>
          <w:color w:val="auto"/>
        </w:rPr>
      </w:pPr>
    </w:p>
    <w:p>
      <w:pPr>
        <w:sectPr>
          <w:pgSz w:w="11900" w:h="16838" w:orient="portrait"/>
          <w:cols w:equalWidth="0" w:num="2">
            <w:col w:w="7360" w:space="720"/>
            <w:col w:w="3340"/>
          </w:cols>
          <w:pgMar w:left="240" w:top="233" w:right="239" w:bottom="1440" w:gutter="0" w:footer="0" w:header="0"/>
          <w:type w:val="continuous"/>
        </w:sectPr>
      </w:pPr>
    </w:p>
    <w:p>
      <w:pPr>
        <w:spacing w:after="0" w:line="152" w:lineRule="exact"/>
        <w:rPr>
          <w:sz w:val="24"/>
          <w:szCs w:val="24"/>
          <w:color w:val="auto"/>
        </w:rPr>
      </w:pPr>
    </w:p>
    <w:p>
      <w:pPr>
        <w:ind w:left="200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87" w:lineRule="exact"/>
        <w:rPr>
          <w:sz w:val="24"/>
          <w:szCs w:val="24"/>
          <w:color w:val="auto"/>
        </w:rPr>
      </w:pPr>
    </w:p>
    <w:p>
      <w:pPr>
        <w:sectPr>
          <w:pgSz w:w="11900" w:h="16838" w:orient="portrait"/>
          <w:cols w:equalWidth="0" w:num="2">
            <w:col w:w="7020" w:space="720"/>
            <w:col w:w="3680"/>
          </w:cols>
          <w:pgMar w:left="240" w:top="233" w:right="239" w:bottom="1440" w:gutter="0" w:footer="0" w:header="0"/>
          <w:type w:val="continuous"/>
        </w:sectPr>
      </w:pPr>
    </w:p>
    <w:p>
      <w:pPr>
        <w:ind w:left="142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420"/>
          </w:cols>
          <w:pgMar w:left="240" w:top="233" w:right="239" w:bottom="1440" w:gutter="0" w:footer="0" w:header="0"/>
          <w:type w:val="continuous"/>
        </w:sectPr>
      </w:pPr>
    </w:p>
    <w:p>
      <w:pPr>
        <w:spacing w:after="0" w:line="197" w:lineRule="exact"/>
        <w:rPr>
          <w:sz w:val="24"/>
          <w:szCs w:val="24"/>
          <w:color w:val="auto"/>
        </w:rPr>
      </w:pPr>
    </w:p>
    <w:p>
      <w:pPr>
        <w:ind w:left="420" w:right="2780"/>
        <w:spacing w:after="0" w:line="460" w:lineRule="auto"/>
        <w:rPr>
          <w:sz w:val="20"/>
          <w:szCs w:val="20"/>
          <w:color w:val="auto"/>
        </w:rPr>
      </w:pPr>
      <w:r>
        <w:rPr>
          <w:rFonts w:ascii="Arial" w:cs="Arial" w:eastAsia="Arial" w:hAnsi="Arial"/>
          <w:sz w:val="15"/>
          <w:szCs w:val="15"/>
          <w:color w:val="auto"/>
        </w:rPr>
        <w:t>Indicate by check mark whether the registrant is a shell company (as defined in Rule 12b-2 of the Exchange Act). o Yes x No Indicate the number of shares outstanding of each of the issuer’s classes of stock, as of the latest practicable date.</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58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July 29, 2016</w:t>
            </w:r>
          </w:p>
        </w:tc>
      </w:tr>
      <w:tr>
        <w:trPr>
          <w:trHeight w:val="243"/>
        </w:trPr>
        <w:tc>
          <w:tcPr>
            <w:tcW w:w="59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5460" w:type="dxa"/>
            <w:vAlign w:val="bottom"/>
          </w:tcPr>
          <w:p>
            <w:pPr>
              <w:jc w:val="right"/>
              <w:ind w:right="2239"/>
              <w:spacing w:after="0"/>
              <w:rPr>
                <w:sz w:val="20"/>
                <w:szCs w:val="20"/>
                <w:color w:val="auto"/>
              </w:rPr>
            </w:pPr>
            <w:r>
              <w:rPr>
                <w:rFonts w:ascii="Arial" w:cs="Arial" w:eastAsia="Arial" w:hAnsi="Arial"/>
                <w:sz w:val="18"/>
                <w:szCs w:val="18"/>
                <w:b w:val="1"/>
                <w:bCs w:val="1"/>
                <w:color w:val="auto"/>
              </w:rPr>
              <w:t>35,016,294</w:t>
            </w:r>
          </w:p>
        </w:tc>
      </w:tr>
      <w:tr>
        <w:trPr>
          <w:trHeight w:val="270"/>
        </w:trPr>
        <w:tc>
          <w:tcPr>
            <w:tcW w:w="53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460" w:type="dxa"/>
            <w:vAlign w:val="bottom"/>
            <w:tcBorders>
              <w:bottom w:val="single" w:sz="8" w:color="auto"/>
            </w:tcBorders>
          </w:tcPr>
          <w:p>
            <w:pPr>
              <w:spacing w:after="0"/>
              <w:rPr>
                <w:sz w:val="23"/>
                <w:szCs w:val="23"/>
                <w:color w:val="auto"/>
              </w:rPr>
            </w:pPr>
          </w:p>
        </w:tc>
      </w:tr>
      <w:tr>
        <w:trPr>
          <w:trHeight w:val="136"/>
        </w:trPr>
        <w:tc>
          <w:tcPr>
            <w:tcW w:w="53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6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ind w:left="3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48" w:lineRule="exact"/>
        <w:rPr>
          <w:sz w:val="20"/>
          <w:szCs w:val="20"/>
          <w:color w:val="auto"/>
        </w:rPr>
      </w:pPr>
    </w:p>
    <w:p>
      <w:pPr>
        <w:ind w:left="10660"/>
        <w:spacing w:after="0"/>
        <w:rPr>
          <w:sz w:val="20"/>
          <w:szCs w:val="20"/>
          <w:color w:val="auto"/>
        </w:rPr>
      </w:pPr>
      <w:r>
        <w:rPr>
          <w:rFonts w:ascii="Arial" w:cs="Arial" w:eastAsia="Arial" w:hAnsi="Arial"/>
          <w:sz w:val="14"/>
          <w:szCs w:val="14"/>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6651625</wp:posOffset>
            </wp:positionH>
            <wp:positionV relativeFrom="paragraph">
              <wp:posOffset>23495</wp:posOffset>
            </wp:positionV>
            <wp:extent cx="5746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01" w:lineRule="exact"/>
        <w:rPr>
          <w:sz w:val="20"/>
          <w:szCs w:val="20"/>
          <w:color w:val="auto"/>
        </w:rPr>
      </w:pPr>
    </w:p>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PART I. FINANCIAL INFORMATION</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gridSpan w:val="2"/>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Item 1.</w:t>
              </w:r>
            </w:hyperlink>
          </w:p>
        </w:tc>
        <w:tc>
          <w:tcPr>
            <w:tcW w:w="680" w:type="dxa"/>
            <w:vAlign w:val="bottom"/>
            <w:gridSpan w:val="4"/>
          </w:tcPr>
          <w:p>
            <w:pPr>
              <w:spacing w:after="0"/>
              <w:rPr>
                <w:sz w:val="16"/>
                <w:szCs w:val="16"/>
                <w:color w:val="auto"/>
              </w:rPr>
            </w:pPr>
          </w:p>
        </w:tc>
        <w:tc>
          <w:tcPr>
            <w:tcW w:w="7940" w:type="dxa"/>
            <w:vAlign w:val="bottom"/>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Financial Statements (Unaudited)</w:t>
              </w:r>
            </w:hyperlink>
          </w:p>
        </w:tc>
        <w:tc>
          <w:tcPr>
            <w:tcW w:w="228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4</w:t>
              </w:r>
            </w:hyperlink>
          </w:p>
        </w:tc>
      </w:tr>
      <w:tr>
        <w:trPr>
          <w:trHeight w:val="237"/>
        </w:trPr>
        <w:tc>
          <w:tcPr>
            <w:tcW w:w="3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8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88"/>
              </w:rPr>
            </w:pPr>
            <w:hyperlink w:anchor="page4">
              <w:r>
                <w:rPr>
                  <w:rFonts w:ascii="Arial" w:cs="Arial" w:eastAsia="Arial" w:hAnsi="Arial"/>
                  <w:sz w:val="16"/>
                  <w:szCs w:val="16"/>
                  <w:color w:val="0000EE"/>
                  <w:w w:val="88"/>
                </w:rPr>
                <w:t>Consolidated Balance Sheets</w:t>
              </w:r>
            </w:hyperlink>
          </w:p>
        </w:tc>
        <w:tc>
          <w:tcPr>
            <w:tcW w:w="160" w:type="dxa"/>
            <w:vAlign w:val="bottom"/>
            <w:tcBorders>
              <w:top w:val="single" w:sz="8" w:color="0000EE"/>
            </w:tcBorders>
          </w:tcPr>
          <w:p>
            <w:pPr>
              <w:spacing w:after="0"/>
              <w:rPr>
                <w:sz w:val="20"/>
                <w:szCs w:val="20"/>
                <w:color w:val="auto"/>
              </w:rPr>
            </w:pPr>
          </w:p>
        </w:tc>
        <w:tc>
          <w:tcPr>
            <w:tcW w:w="5760" w:type="dxa"/>
            <w:vAlign w:val="bottom"/>
            <w:gridSpan w:val="8"/>
          </w:tcPr>
          <w:p>
            <w:pPr>
              <w:spacing w:after="0"/>
              <w:rPr>
                <w:sz w:val="20"/>
                <w:szCs w:val="20"/>
                <w:color w:val="auto"/>
              </w:rPr>
            </w:pPr>
          </w:p>
        </w:tc>
        <w:tc>
          <w:tcPr>
            <w:tcW w:w="228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4</w:t>
              </w:r>
            </w:hyperlink>
          </w:p>
        </w:tc>
      </w:tr>
      <w:tr>
        <w:trPr>
          <w:trHeight w:val="237"/>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Borders>
              <w:bottom w:val="single" w:sz="8" w:color="0000EE"/>
            </w:tcBorders>
            <w:gridSpan w:val="8"/>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Statements of Operations</w:t>
              </w:r>
            </w:hyperlink>
          </w:p>
        </w:tc>
        <w:tc>
          <w:tcPr>
            <w:tcW w:w="5260" w:type="dxa"/>
            <w:vAlign w:val="bottom"/>
            <w:gridSpan w:val="7"/>
          </w:tcPr>
          <w:p>
            <w:pPr>
              <w:spacing w:after="0"/>
              <w:rPr>
                <w:sz w:val="20"/>
                <w:szCs w:val="20"/>
                <w:color w:val="auto"/>
              </w:rPr>
            </w:pPr>
          </w:p>
        </w:tc>
        <w:tc>
          <w:tcPr>
            <w:tcW w:w="228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5</w:t>
              </w:r>
            </w:hyperlink>
          </w:p>
        </w:tc>
      </w:tr>
      <w:tr>
        <w:trPr>
          <w:trHeight w:val="237"/>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0" w:type="dxa"/>
            <w:vAlign w:val="bottom"/>
            <w:gridSpan w:val="15"/>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Comprehensive Income</w:t>
              </w:r>
            </w:hyperlink>
          </w:p>
        </w:tc>
        <w:tc>
          <w:tcPr>
            <w:tcW w:w="2280" w:type="dxa"/>
            <w:vAlign w:val="bottom"/>
          </w:tcPr>
          <w:p>
            <w:pPr>
              <w:jc w:val="right"/>
              <w:spacing w:after="0"/>
              <w:rPr>
                <w:rFonts w:ascii="Arial" w:cs="Arial" w:eastAsia="Arial" w:hAnsi="Arial"/>
                <w:sz w:val="16"/>
                <w:szCs w:val="16"/>
                <w:color w:val="auto"/>
              </w:rPr>
            </w:pPr>
            <w:hyperlink w:anchor="page6">
              <w:r>
                <w:rPr>
                  <w:rFonts w:ascii="Arial" w:cs="Arial" w:eastAsia="Arial" w:hAnsi="Arial"/>
                  <w:sz w:val="16"/>
                  <w:szCs w:val="16"/>
                  <w:color w:val="auto"/>
                </w:rPr>
                <w:t>6</w:t>
              </w:r>
            </w:hyperlink>
          </w:p>
        </w:tc>
      </w:tr>
      <w:tr>
        <w:trPr>
          <w:trHeight w:val="237"/>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Borders>
              <w:top w:val="single" w:sz="8" w:color="0000EE"/>
            </w:tcBorders>
            <w:gridSpan w:val="11"/>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Statements of Cash Flows</w:t>
              </w:r>
            </w:hyperlink>
          </w:p>
        </w:tc>
        <w:tc>
          <w:tcPr>
            <w:tcW w:w="4440" w:type="dxa"/>
            <w:vAlign w:val="bottom"/>
            <w:gridSpan w:val="4"/>
          </w:tcPr>
          <w:p>
            <w:pPr>
              <w:spacing w:after="0"/>
              <w:rPr>
                <w:sz w:val="20"/>
                <w:szCs w:val="20"/>
                <w:color w:val="auto"/>
              </w:rPr>
            </w:pPr>
          </w:p>
        </w:tc>
        <w:tc>
          <w:tcPr>
            <w:tcW w:w="228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7</w:t>
              </w:r>
            </w:hyperlink>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Borders>
              <w:bottom w:val="single" w:sz="8" w:color="0000EE"/>
            </w:tcBorders>
            <w:gridSpan w:val="10"/>
          </w:tcPr>
          <w:p>
            <w:pPr>
              <w:spacing w:after="0"/>
              <w:rPr>
                <w:rFonts w:ascii="Arial" w:cs="Arial" w:eastAsia="Arial" w:hAnsi="Arial"/>
                <w:sz w:val="16"/>
                <w:szCs w:val="16"/>
                <w:color w:val="0000EE"/>
                <w:w w:val="90"/>
              </w:rPr>
            </w:pPr>
            <w:hyperlink w:anchor="page8">
              <w:r>
                <w:rPr>
                  <w:rFonts w:ascii="Arial" w:cs="Arial" w:eastAsia="Arial" w:hAnsi="Arial"/>
                  <w:sz w:val="16"/>
                  <w:szCs w:val="16"/>
                  <w:color w:val="0000EE"/>
                  <w:w w:val="90"/>
                </w:rPr>
                <w:t>Notes to Consolidated Financial Statements</w:t>
              </w:r>
            </w:hyperlink>
          </w:p>
        </w:tc>
        <w:tc>
          <w:tcPr>
            <w:tcW w:w="4960" w:type="dxa"/>
            <w:vAlign w:val="bottom"/>
            <w:gridSpan w:val="5"/>
          </w:tcPr>
          <w:p>
            <w:pPr>
              <w:spacing w:after="0"/>
              <w:rPr>
                <w:sz w:val="20"/>
                <w:szCs w:val="20"/>
                <w:color w:val="auto"/>
              </w:rPr>
            </w:pPr>
          </w:p>
        </w:tc>
        <w:tc>
          <w:tcPr>
            <w:tcW w:w="228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8</w:t>
              </w:r>
            </w:hyperlink>
          </w:p>
        </w:tc>
      </w:tr>
      <w:tr>
        <w:trPr>
          <w:trHeight w:val="237"/>
        </w:trPr>
        <w:tc>
          <w:tcPr>
            <w:tcW w:w="48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20">
              <w:r>
                <w:rPr>
                  <w:rFonts w:ascii="Arial" w:cs="Arial" w:eastAsia="Arial" w:hAnsi="Arial"/>
                  <w:sz w:val="16"/>
                  <w:szCs w:val="16"/>
                  <w:color w:val="0000EE"/>
                  <w:w w:val="93"/>
                </w:rPr>
                <w:t>Item 2.</w:t>
              </w:r>
            </w:hyperlink>
          </w:p>
        </w:tc>
        <w:tc>
          <w:tcPr>
            <w:tcW w:w="660" w:type="dxa"/>
            <w:vAlign w:val="bottom"/>
            <w:gridSpan w:val="3"/>
          </w:tcPr>
          <w:p>
            <w:pPr>
              <w:spacing w:after="0"/>
              <w:rPr>
                <w:sz w:val="20"/>
                <w:szCs w:val="20"/>
                <w:color w:val="auto"/>
              </w:rPr>
            </w:pPr>
          </w:p>
        </w:tc>
        <w:tc>
          <w:tcPr>
            <w:tcW w:w="5820" w:type="dxa"/>
            <w:vAlign w:val="bottom"/>
            <w:tcBorders>
              <w:bottom w:val="single" w:sz="8" w:color="0000EE"/>
            </w:tcBorders>
            <w:gridSpan w:val="15"/>
          </w:tcPr>
          <w:p>
            <w:pPr>
              <w:spacing w:after="0"/>
              <w:rPr>
                <w:rFonts w:ascii="Arial" w:cs="Arial" w:eastAsia="Arial" w:hAnsi="Arial"/>
                <w:sz w:val="16"/>
                <w:szCs w:val="16"/>
                <w:color w:val="0000EE"/>
                <w:w w:val="92"/>
              </w:rPr>
            </w:pPr>
            <w:hyperlink w:anchor="page20">
              <w:r>
                <w:rPr>
                  <w:rFonts w:ascii="Arial" w:cs="Arial" w:eastAsia="Arial" w:hAnsi="Arial"/>
                  <w:sz w:val="16"/>
                  <w:szCs w:val="16"/>
                  <w:color w:val="0000EE"/>
                  <w:w w:val="92"/>
                </w:rPr>
                <w:t>Management’s Discussion and Analysis of Financial Condition and Results of Operations</w:t>
              </w:r>
            </w:hyperlink>
          </w:p>
        </w:tc>
        <w:tc>
          <w:tcPr>
            <w:tcW w:w="2120" w:type="dxa"/>
            <w:vAlign w:val="bottom"/>
          </w:tcPr>
          <w:p>
            <w:pPr>
              <w:spacing w:after="0"/>
              <w:rPr>
                <w:sz w:val="20"/>
                <w:szCs w:val="20"/>
                <w:color w:val="auto"/>
              </w:rPr>
            </w:pPr>
          </w:p>
        </w:tc>
        <w:tc>
          <w:tcPr>
            <w:tcW w:w="2280" w:type="dxa"/>
            <w:vAlign w:val="bottom"/>
          </w:tcPr>
          <w:p>
            <w:pPr>
              <w:jc w:val="right"/>
              <w:spacing w:after="0"/>
              <w:rPr>
                <w:rFonts w:ascii="Arial" w:cs="Arial" w:eastAsia="Arial" w:hAnsi="Arial"/>
                <w:sz w:val="16"/>
                <w:szCs w:val="16"/>
                <w:color w:val="auto"/>
              </w:rPr>
            </w:pPr>
            <w:hyperlink w:anchor="page20">
              <w:r>
                <w:rPr>
                  <w:rFonts w:ascii="Arial" w:cs="Arial" w:eastAsia="Arial" w:hAnsi="Arial"/>
                  <w:sz w:val="16"/>
                  <w:szCs w:val="16"/>
                  <w:color w:val="auto"/>
                </w:rPr>
                <w:t>20</w:t>
              </w:r>
            </w:hyperlink>
          </w:p>
        </w:tc>
      </w:tr>
      <w:tr>
        <w:trPr>
          <w:trHeight w:val="237"/>
        </w:trPr>
        <w:tc>
          <w:tcPr>
            <w:tcW w:w="48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30">
              <w:r>
                <w:rPr>
                  <w:rFonts w:ascii="Arial" w:cs="Arial" w:eastAsia="Arial" w:hAnsi="Arial"/>
                  <w:sz w:val="16"/>
                  <w:szCs w:val="16"/>
                  <w:color w:val="0000EE"/>
                  <w:w w:val="93"/>
                </w:rPr>
                <w:t>Item 3.</w:t>
              </w:r>
            </w:hyperlink>
          </w:p>
        </w:tc>
        <w:tc>
          <w:tcPr>
            <w:tcW w:w="660" w:type="dxa"/>
            <w:vAlign w:val="bottom"/>
            <w:gridSpan w:val="3"/>
          </w:tcPr>
          <w:p>
            <w:pPr>
              <w:spacing w:after="0"/>
              <w:rPr>
                <w:sz w:val="20"/>
                <w:szCs w:val="20"/>
                <w:color w:val="auto"/>
              </w:rPr>
            </w:pPr>
          </w:p>
        </w:tc>
        <w:tc>
          <w:tcPr>
            <w:tcW w:w="3940" w:type="dxa"/>
            <w:vAlign w:val="bottom"/>
            <w:tcBorders>
              <w:bottom w:val="single" w:sz="8" w:color="0000EE"/>
            </w:tcBorders>
            <w:gridSpan w:val="14"/>
          </w:tcPr>
          <w:p>
            <w:pPr>
              <w:spacing w:after="0"/>
              <w:rPr>
                <w:rFonts w:ascii="Arial" w:cs="Arial" w:eastAsia="Arial" w:hAnsi="Arial"/>
                <w:sz w:val="16"/>
                <w:szCs w:val="16"/>
                <w:color w:val="0000EE"/>
                <w:w w:val="93"/>
              </w:rPr>
            </w:pPr>
            <w:hyperlink w:anchor="page30">
              <w:r>
                <w:rPr>
                  <w:rFonts w:ascii="Arial" w:cs="Arial" w:eastAsia="Arial" w:hAnsi="Arial"/>
                  <w:sz w:val="16"/>
                  <w:szCs w:val="16"/>
                  <w:color w:val="0000EE"/>
                  <w:w w:val="93"/>
                </w:rPr>
                <w:t>Quantitative and Qualitative Disclosures About Market Risk</w:t>
              </w:r>
            </w:hyperlink>
          </w:p>
        </w:tc>
        <w:tc>
          <w:tcPr>
            <w:tcW w:w="4000" w:type="dxa"/>
            <w:vAlign w:val="bottom"/>
            <w:gridSpan w:val="2"/>
          </w:tcPr>
          <w:p>
            <w:pPr>
              <w:spacing w:after="0"/>
              <w:rPr>
                <w:sz w:val="20"/>
                <w:szCs w:val="20"/>
                <w:color w:val="auto"/>
              </w:rPr>
            </w:pPr>
          </w:p>
        </w:tc>
        <w:tc>
          <w:tcPr>
            <w:tcW w:w="228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30</w:t>
              </w:r>
            </w:hyperlink>
          </w:p>
        </w:tc>
      </w:tr>
      <w:tr>
        <w:trPr>
          <w:trHeight w:val="237"/>
        </w:trPr>
        <w:tc>
          <w:tcPr>
            <w:tcW w:w="46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Item 4.</w:t>
              </w:r>
            </w:hyperlink>
          </w:p>
        </w:tc>
        <w:tc>
          <w:tcPr>
            <w:tcW w:w="680" w:type="dxa"/>
            <w:vAlign w:val="bottom"/>
            <w:gridSpan w:val="4"/>
          </w:tcPr>
          <w:p>
            <w:pPr>
              <w:spacing w:after="0"/>
              <w:rPr>
                <w:sz w:val="20"/>
                <w:szCs w:val="20"/>
                <w:color w:val="auto"/>
              </w:rPr>
            </w:pPr>
          </w:p>
        </w:tc>
        <w:tc>
          <w:tcPr>
            <w:tcW w:w="1600" w:type="dxa"/>
            <w:vAlign w:val="bottom"/>
            <w:tcBorders>
              <w:bottom w:val="single" w:sz="8" w:color="0000EE"/>
            </w:tcBorders>
            <w:gridSpan w:val="6"/>
          </w:tcPr>
          <w:p>
            <w:pPr>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Controls and Procedures</w:t>
              </w:r>
            </w:hyperlink>
          </w:p>
        </w:tc>
        <w:tc>
          <w:tcPr>
            <w:tcW w:w="6340" w:type="dxa"/>
            <w:vAlign w:val="bottom"/>
            <w:gridSpan w:val="10"/>
          </w:tcPr>
          <w:p>
            <w:pPr>
              <w:spacing w:after="0"/>
              <w:rPr>
                <w:sz w:val="20"/>
                <w:szCs w:val="20"/>
                <w:color w:val="auto"/>
              </w:rPr>
            </w:pPr>
          </w:p>
        </w:tc>
        <w:tc>
          <w:tcPr>
            <w:tcW w:w="2280" w:type="dxa"/>
            <w:vAlign w:val="bottom"/>
          </w:tcPr>
          <w:p>
            <w:pPr>
              <w:jc w:val="right"/>
              <w:spacing w:after="0"/>
              <w:rPr>
                <w:rFonts w:ascii="Arial" w:cs="Arial" w:eastAsia="Arial" w:hAnsi="Arial"/>
                <w:sz w:val="16"/>
                <w:szCs w:val="16"/>
                <w:color w:val="auto"/>
              </w:rPr>
            </w:pPr>
            <w:hyperlink w:anchor="page31">
              <w:r>
                <w:rPr>
                  <w:rFonts w:ascii="Arial" w:cs="Arial" w:eastAsia="Arial" w:hAnsi="Arial"/>
                  <w:sz w:val="16"/>
                  <w:szCs w:val="16"/>
                  <w:color w:val="auto"/>
                </w:rPr>
                <w:t>31</w:t>
              </w:r>
            </w:hyperlink>
          </w:p>
        </w:tc>
      </w:tr>
      <w:tr>
        <w:trPr>
          <w:trHeight w:val="493"/>
        </w:trPr>
        <w:tc>
          <w:tcPr>
            <w:tcW w:w="9080" w:type="dxa"/>
            <w:vAlign w:val="bottom"/>
            <w:gridSpan w:val="22"/>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PART II. OTHER INFORMATION</w:t>
              </w:r>
            </w:hyperlink>
          </w:p>
        </w:tc>
        <w:tc>
          <w:tcPr>
            <w:tcW w:w="2280" w:type="dxa"/>
            <w:vAlign w:val="bottom"/>
          </w:tcPr>
          <w:p>
            <w:pPr>
              <w:spacing w:after="0"/>
              <w:rPr>
                <w:sz w:val="24"/>
                <w:szCs w:val="24"/>
                <w:color w:val="auto"/>
              </w:rPr>
            </w:pPr>
          </w:p>
        </w:tc>
      </w:tr>
      <w:tr>
        <w:trPr>
          <w:trHeight w:val="493"/>
        </w:trPr>
        <w:tc>
          <w:tcPr>
            <w:tcW w:w="480" w:type="dxa"/>
            <w:vAlign w:val="bottom"/>
            <w:tcBorders>
              <w:top w:val="single" w:sz="8" w:color="0000EE"/>
            </w:tcBorders>
            <w:gridSpan w:val="3"/>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Item 1.</w:t>
              </w:r>
            </w:hyperlink>
          </w:p>
        </w:tc>
        <w:tc>
          <w:tcPr>
            <w:tcW w:w="660" w:type="dxa"/>
            <w:vAlign w:val="bottom"/>
            <w:tcBorders>
              <w:top w:val="single" w:sz="8" w:color="0000EE"/>
            </w:tcBorders>
            <w:gridSpan w:val="3"/>
          </w:tcPr>
          <w:p>
            <w:pPr>
              <w:spacing w:after="0"/>
              <w:rPr>
                <w:sz w:val="24"/>
                <w:szCs w:val="24"/>
                <w:color w:val="auto"/>
              </w:rPr>
            </w:pPr>
          </w:p>
        </w:tc>
        <w:tc>
          <w:tcPr>
            <w:tcW w:w="1340" w:type="dxa"/>
            <w:vAlign w:val="bottom"/>
            <w:tcBorders>
              <w:top w:val="single" w:sz="8" w:color="0000EE"/>
            </w:tcBorders>
            <w:gridSpan w:val="5"/>
          </w:tcPr>
          <w:p>
            <w:pPr>
              <w:spacing w:after="0"/>
              <w:rPr>
                <w:rFonts w:ascii="Arial" w:cs="Arial" w:eastAsia="Arial" w:hAnsi="Arial"/>
                <w:sz w:val="16"/>
                <w:szCs w:val="16"/>
                <w:color w:val="0000EE"/>
                <w:w w:val="99"/>
              </w:rPr>
            </w:pPr>
            <w:hyperlink w:anchor="page32">
              <w:r>
                <w:rPr>
                  <w:rFonts w:ascii="Arial" w:cs="Arial" w:eastAsia="Arial" w:hAnsi="Arial"/>
                  <w:sz w:val="16"/>
                  <w:szCs w:val="16"/>
                  <w:color w:val="0000EE"/>
                  <w:w w:val="99"/>
                </w:rPr>
                <w:t>Legal Proceedings</w:t>
              </w:r>
            </w:hyperlink>
          </w:p>
        </w:tc>
        <w:tc>
          <w:tcPr>
            <w:tcW w:w="6600" w:type="dxa"/>
            <w:vAlign w:val="bottom"/>
            <w:gridSpan w:val="11"/>
          </w:tcPr>
          <w:p>
            <w:pPr>
              <w:spacing w:after="0"/>
              <w:rPr>
                <w:sz w:val="24"/>
                <w:szCs w:val="24"/>
                <w:color w:val="auto"/>
              </w:rPr>
            </w:pPr>
          </w:p>
        </w:tc>
        <w:tc>
          <w:tcPr>
            <w:tcW w:w="228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32</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7"/>
        </w:trPr>
        <w:tc>
          <w:tcPr>
            <w:tcW w:w="580" w:type="dxa"/>
            <w:vAlign w:val="bottom"/>
            <w:tcBorders>
              <w:bottom w:val="single" w:sz="8" w:color="0000EE"/>
            </w:tcBorders>
            <w:gridSpan w:val="4"/>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Item 1A.</w:t>
              </w:r>
            </w:hyperlink>
          </w:p>
        </w:tc>
        <w:tc>
          <w:tcPr>
            <w:tcW w:w="560" w:type="dxa"/>
            <w:vAlign w:val="bottom"/>
            <w:gridSpan w:val="2"/>
          </w:tcPr>
          <w:p>
            <w:pPr>
              <w:spacing w:after="0"/>
              <w:rPr>
                <w:sz w:val="20"/>
                <w:szCs w:val="20"/>
                <w:color w:val="auto"/>
              </w:rPr>
            </w:pPr>
          </w:p>
        </w:tc>
        <w:tc>
          <w:tcPr>
            <w:tcW w:w="82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Risk Factors</w:t>
              </w:r>
            </w:hyperlink>
          </w:p>
        </w:tc>
        <w:tc>
          <w:tcPr>
            <w:tcW w:w="7120" w:type="dxa"/>
            <w:vAlign w:val="bottom"/>
            <w:gridSpan w:val="13"/>
          </w:tcPr>
          <w:p>
            <w:pPr>
              <w:spacing w:after="0"/>
              <w:rPr>
                <w:sz w:val="20"/>
                <w:szCs w:val="20"/>
                <w:color w:val="auto"/>
              </w:rPr>
            </w:pPr>
          </w:p>
        </w:tc>
        <w:tc>
          <w:tcPr>
            <w:tcW w:w="228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32</w:t>
              </w:r>
            </w:hyperlink>
          </w:p>
        </w:tc>
      </w:tr>
      <w:tr>
        <w:trPr>
          <w:trHeight w:val="237"/>
        </w:trPr>
        <w:tc>
          <w:tcPr>
            <w:tcW w:w="48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2.</w:t>
              </w:r>
            </w:hyperlink>
          </w:p>
        </w:tc>
        <w:tc>
          <w:tcPr>
            <w:tcW w:w="660" w:type="dxa"/>
            <w:vAlign w:val="bottom"/>
            <w:gridSpan w:val="3"/>
          </w:tcPr>
          <w:p>
            <w:pPr>
              <w:spacing w:after="0"/>
              <w:rPr>
                <w:sz w:val="20"/>
                <w:szCs w:val="20"/>
                <w:color w:val="auto"/>
              </w:rPr>
            </w:pPr>
          </w:p>
        </w:tc>
        <w:tc>
          <w:tcPr>
            <w:tcW w:w="392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33">
              <w:r>
                <w:rPr>
                  <w:rFonts w:ascii="Arial" w:cs="Arial" w:eastAsia="Arial" w:hAnsi="Arial"/>
                  <w:sz w:val="16"/>
                  <w:szCs w:val="16"/>
                  <w:color w:val="0000EE"/>
                  <w:w w:val="90"/>
                </w:rPr>
                <w:t>Unregistered Sales of Equity Securities and Use of Proceeds</w:t>
              </w:r>
            </w:hyperlink>
          </w:p>
        </w:tc>
        <w:tc>
          <w:tcPr>
            <w:tcW w:w="4020" w:type="dxa"/>
            <w:vAlign w:val="bottom"/>
            <w:gridSpan w:val="3"/>
          </w:tcPr>
          <w:p>
            <w:pPr>
              <w:spacing w:after="0"/>
              <w:rPr>
                <w:sz w:val="20"/>
                <w:szCs w:val="20"/>
                <w:color w:val="auto"/>
              </w:rPr>
            </w:pPr>
          </w:p>
        </w:tc>
        <w:tc>
          <w:tcPr>
            <w:tcW w:w="228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33</w:t>
              </w:r>
            </w:hyperlink>
          </w:p>
        </w:tc>
      </w:tr>
      <w:tr>
        <w:trPr>
          <w:trHeight w:val="237"/>
        </w:trPr>
        <w:tc>
          <w:tcPr>
            <w:tcW w:w="480" w:type="dxa"/>
            <w:vAlign w:val="bottom"/>
            <w:gridSpan w:val="3"/>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6.</w:t>
              </w:r>
            </w:hyperlink>
          </w:p>
        </w:tc>
        <w:tc>
          <w:tcPr>
            <w:tcW w:w="660" w:type="dxa"/>
            <w:vAlign w:val="bottom"/>
            <w:gridSpan w:val="3"/>
          </w:tcPr>
          <w:p>
            <w:pPr>
              <w:spacing w:after="0"/>
              <w:rPr>
                <w:sz w:val="20"/>
                <w:szCs w:val="20"/>
                <w:color w:val="auto"/>
              </w:rPr>
            </w:pPr>
          </w:p>
        </w:tc>
        <w:tc>
          <w:tcPr>
            <w:tcW w:w="7940" w:type="dxa"/>
            <w:vAlign w:val="bottom"/>
            <w:gridSpan w:val="1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Exhibits</w:t>
              </w:r>
            </w:hyperlink>
          </w:p>
        </w:tc>
        <w:tc>
          <w:tcPr>
            <w:tcW w:w="228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93"/>
        </w:trPr>
        <w:tc>
          <w:tcPr>
            <w:tcW w:w="340" w:type="dxa"/>
            <w:vAlign w:val="bottom"/>
          </w:tcPr>
          <w:p>
            <w:pPr>
              <w:spacing w:after="0"/>
              <w:rPr>
                <w:sz w:val="24"/>
                <w:szCs w:val="24"/>
                <w:color w:val="auto"/>
              </w:rPr>
            </w:pPr>
          </w:p>
        </w:tc>
        <w:tc>
          <w:tcPr>
            <w:tcW w:w="700" w:type="dxa"/>
            <w:vAlign w:val="bottom"/>
            <w:tcBorders>
              <w:bottom w:val="single" w:sz="8" w:color="0000EE"/>
            </w:tcBorders>
            <w:gridSpan w:val="4"/>
          </w:tcPr>
          <w:p>
            <w:pPr>
              <w:spacing w:after="0"/>
              <w:rPr>
                <w:rFonts w:ascii="Arial" w:cs="Arial" w:eastAsia="Arial" w:hAnsi="Arial"/>
                <w:sz w:val="16"/>
                <w:szCs w:val="16"/>
                <w:color w:val="0000EE"/>
                <w:w w:val="88"/>
              </w:rPr>
            </w:pPr>
            <w:hyperlink w:anchor="page34">
              <w:r>
                <w:rPr>
                  <w:rFonts w:ascii="Arial" w:cs="Arial" w:eastAsia="Arial" w:hAnsi="Arial"/>
                  <w:sz w:val="16"/>
                  <w:szCs w:val="16"/>
                  <w:color w:val="0000EE"/>
                  <w:w w:val="88"/>
                </w:rPr>
                <w:t>Signatures</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8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34</w:t>
              </w:r>
            </w:hyperlink>
          </w:p>
        </w:tc>
      </w:tr>
    </w:tbl>
    <w:p>
      <w:pPr>
        <w:spacing w:after="0" w:line="39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125" w:right="259" w:bottom="1440" w:gutter="0" w:footer="0" w:header="0"/>
        </w:sectPr>
      </w:pPr>
    </w:p>
    <w:bookmarkStart w:id="2" w:name="page3"/>
    <w:bookmarkEnd w:id="2"/>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3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Section 27A of the Securities Act of 1933, as amended, and Section 21E of the Securities Exchange Act of 1934, as amended, particularly in the discussions under the caption “Management’s Discussion and Analysis of Financial Condition and Results of Operations”. These include statements that involve expectations, plans or intentions (such as those relating to future business, future results of operations or financial condition, new or planned features, products or services, or management strategies) based on our management’s current beliefs and assumptions. These forward-looking statements can be identified by words such as “may”, “will”, “would”, “should”, “could”, “expect”, “anticipate”, “believe”, “estimate”, “intend”, “plan” and other similar expressions. However, not all forward-looking statements contain these words. These forward-looking statements involve known and unknown risks and uncertainties that could cause our actual results to differ materially from those expressed or implied in our forward-looking statements. Such risks and uncertainties include, among others, those discussed under the caption “Risk Factors” in our most recently filed Annual Report on Form 10-K, which was filed with the Securities and Exchange Commission, or the SEC, on February 24, 2016, and in our consolidated financial statements, related notes, and the other information appearing elsewhere in such report, as well as information appearing in this report on Form 10-Q and our other filings with the SEC. Any forward-looking statement made by us in this Quarterly Report on Form 10-Q speaks only as of the date on which it is made. Factors or events that could cause our actual results to differ may occur and it is not possible for us to predict them all. We do not intend, and, except as required by law, we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w:t>
      </w:r>
    </w:p>
    <w:p>
      <w:pPr>
        <w:spacing w:after="0" w:line="75"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i w:val="1"/>
          <w:iCs w:val="1"/>
          <w:color w:val="auto"/>
        </w:rPr>
        <w:t>Unless the context otherwise indicates, references in this Quarterly Report on Form 10-Q and our other filings with the SEC to the terms “Shutterstock”, “the Company”, “we”, “our” and “us” refer to Shutterstock, Inc. and its subsidiaries. “Shutterstock”, “Bigstock”, “Offset”, “PremiumBeat”, “Rex Features” and “WebDAM” are registered trademarks or logos appearing in this Quarterly Report on Form 10-Q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660" w:type="dxa"/>
            <w:vAlign w:val="bottom"/>
          </w:tcPr>
          <w:p>
            <w:pPr>
              <w:ind w:left="180"/>
              <w:spacing w:after="0"/>
              <w:rPr>
                <w:sz w:val="20"/>
                <w:szCs w:val="20"/>
                <w:color w:val="auto"/>
              </w:rPr>
            </w:pPr>
            <w:r>
              <w:rPr>
                <w:rFonts w:ascii="Arial" w:cs="Arial" w:eastAsia="Arial" w:hAnsi="Arial"/>
                <w:sz w:val="18"/>
                <w:szCs w:val="18"/>
                <w:b w:val="1"/>
                <w:bCs w:val="1"/>
                <w:color w:val="auto"/>
              </w:rPr>
              <w:t>FINANCIAL INFORMATION</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7660" w:type="dxa"/>
            <w:vAlign w:val="bottom"/>
          </w:tcPr>
          <w:p>
            <w:pPr>
              <w:jc w:val="center"/>
              <w:ind w:left="2332"/>
              <w:spacing w:after="0"/>
              <w:rPr>
                <w:sz w:val="20"/>
                <w:szCs w:val="20"/>
                <w:color w:val="auto"/>
              </w:rPr>
            </w:pPr>
            <w:r>
              <w:rPr>
                <w:rFonts w:ascii="Arial" w:cs="Arial" w:eastAsia="Arial" w:hAnsi="Arial"/>
                <w:sz w:val="18"/>
                <w:szCs w:val="18"/>
                <w:b w:val="1"/>
                <w:bCs w:val="1"/>
                <w:color w:val="auto"/>
                <w:w w:val="90"/>
              </w:rPr>
              <w:t>Shutterstock, Inc.</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660" w:type="dxa"/>
            <w:vAlign w:val="bottom"/>
          </w:tcPr>
          <w:p>
            <w:pPr>
              <w:jc w:val="center"/>
              <w:ind w:left="2332"/>
              <w:spacing w:after="0"/>
              <w:rPr>
                <w:sz w:val="20"/>
                <w:szCs w:val="20"/>
                <w:color w:val="auto"/>
              </w:rPr>
            </w:pPr>
            <w:r>
              <w:rPr>
                <w:rFonts w:ascii="Arial" w:cs="Arial" w:eastAsia="Arial" w:hAnsi="Arial"/>
                <w:sz w:val="18"/>
                <w:szCs w:val="18"/>
                <w:b w:val="1"/>
                <w:bCs w:val="1"/>
                <w:color w:val="auto"/>
                <w:w w:val="87"/>
              </w:rPr>
              <w:t>Consolidated Balance Sheets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660" w:type="dxa"/>
            <w:vAlign w:val="bottom"/>
          </w:tcPr>
          <w:p>
            <w:pPr>
              <w:jc w:val="center"/>
              <w:ind w:left="2312"/>
              <w:spacing w:after="0"/>
              <w:rPr>
                <w:sz w:val="20"/>
                <w:szCs w:val="20"/>
                <w:color w:val="auto"/>
              </w:rPr>
            </w:pPr>
            <w:r>
              <w:rPr>
                <w:rFonts w:ascii="Arial" w:cs="Arial" w:eastAsia="Arial" w:hAnsi="Arial"/>
                <w:sz w:val="18"/>
                <w:szCs w:val="18"/>
                <w:b w:val="1"/>
                <w:bCs w:val="1"/>
                <w:color w:val="auto"/>
                <w:w w:val="89"/>
              </w:rPr>
              <w:t>(In thousands, except par value amount)</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7660" w:type="dxa"/>
            <w:vAlign w:val="bottom"/>
          </w:tcPr>
          <w:p>
            <w:pPr>
              <w:jc w:val="center"/>
              <w:ind w:left="2312"/>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80"/>
        </w:trPr>
        <w:tc>
          <w:tcPr>
            <w:tcW w:w="68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6"/>
              </w:rPr>
              <w:t>ASSETS</w:t>
            </w:r>
          </w:p>
        </w:tc>
        <w:tc>
          <w:tcPr>
            <w:tcW w:w="76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680" w:type="dxa"/>
            <w:vAlign w:val="bottom"/>
            <w:vMerge w:val="continue"/>
          </w:tcPr>
          <w:p>
            <w:pPr>
              <w:spacing w:after="0"/>
              <w:rPr>
                <w:sz w:val="24"/>
                <w:szCs w:val="24"/>
                <w:color w:val="auto"/>
              </w:rPr>
            </w:pPr>
          </w:p>
        </w:tc>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834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50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210,918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241,304</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47,078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500"/>
              <w:spacing w:after="0"/>
              <w:rPr>
                <w:sz w:val="20"/>
                <w:szCs w:val="20"/>
                <w:color w:val="auto"/>
              </w:rPr>
            </w:pPr>
            <w:r>
              <w:rPr>
                <w:rFonts w:ascii="Arial" w:cs="Arial" w:eastAsia="Arial" w:hAnsi="Arial"/>
                <w:sz w:val="16"/>
                <w:szCs w:val="16"/>
                <w:color w:val="auto"/>
              </w:rPr>
              <w:t>Credit card receivables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2,811</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25,653</w:t>
            </w:r>
          </w:p>
        </w:tc>
        <w:tc>
          <w:tcPr>
            <w:tcW w:w="0" w:type="dxa"/>
            <w:vAlign w:val="bottom"/>
          </w:tcPr>
          <w:p>
            <w:pPr>
              <w:spacing w:after="0"/>
              <w:rPr>
                <w:sz w:val="1"/>
                <w:szCs w:val="1"/>
                <w:color w:val="auto"/>
              </w:rPr>
            </w:pPr>
          </w:p>
        </w:tc>
      </w:tr>
      <w:tr>
        <w:trPr>
          <w:trHeight w:val="237"/>
        </w:trPr>
        <w:tc>
          <w:tcPr>
            <w:tcW w:w="8340" w:type="dxa"/>
            <w:vAlign w:val="bottom"/>
            <w:gridSpan w:val="2"/>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18,238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11,713</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Deferred tax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7,116</w:t>
            </w: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766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328,815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335,675</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32,094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27,618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29,781</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51,423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50,934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Deferred tax assets,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16,367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18,691</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21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468,377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469,121</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gridSpan w:val="2"/>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gridSpan w:val="2"/>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6,816</w:t>
            </w:r>
          </w:p>
        </w:tc>
        <w:tc>
          <w:tcPr>
            <w:tcW w:w="0" w:type="dxa"/>
            <w:vAlign w:val="bottom"/>
          </w:tcPr>
          <w:p>
            <w:pPr>
              <w:spacing w:after="0"/>
              <w:rPr>
                <w:sz w:val="1"/>
                <w:szCs w:val="1"/>
                <w:color w:val="auto"/>
              </w:rPr>
            </w:pPr>
          </w:p>
        </w:tc>
      </w:tr>
      <w:tr>
        <w:trPr>
          <w:trHeight w:val="237"/>
        </w:trPr>
        <w:tc>
          <w:tcPr>
            <w:tcW w:w="8340" w:type="dxa"/>
            <w:vAlign w:val="bottom"/>
            <w:gridSpan w:val="2"/>
          </w:tcPr>
          <w:p>
            <w:pPr>
              <w:ind w:left="50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31,247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30,696</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Contributor royalties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17,822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50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111,258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98,239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50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10,936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6,258</w:t>
            </w:r>
          </w:p>
        </w:tc>
        <w:tc>
          <w:tcPr>
            <w:tcW w:w="0" w:type="dxa"/>
            <w:vAlign w:val="bottom"/>
          </w:tcPr>
          <w:p>
            <w:pPr>
              <w:spacing w:after="0"/>
              <w:rPr>
                <w:sz w:val="1"/>
                <w:szCs w:val="1"/>
                <w:color w:val="auto"/>
              </w:rPr>
            </w:pPr>
          </w:p>
        </w:tc>
      </w:tr>
      <w:tr>
        <w:trPr>
          <w:trHeight w:val="33"/>
        </w:trPr>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183,817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160,784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Deferred tax liability,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3,778</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15,994</w:t>
            </w:r>
          </w:p>
        </w:tc>
        <w:tc>
          <w:tcPr>
            <w:tcW w:w="0" w:type="dxa"/>
            <w:vAlign w:val="bottom"/>
          </w:tcPr>
          <w:p>
            <w:pPr>
              <w:spacing w:after="0"/>
              <w:rPr>
                <w:sz w:val="1"/>
                <w:szCs w:val="1"/>
                <w:color w:val="auto"/>
              </w:rPr>
            </w:pPr>
          </w:p>
        </w:tc>
      </w:tr>
      <w:tr>
        <w:trPr>
          <w:trHeight w:val="21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194,244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180,556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Commitments and contingencies (Note 6)</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w w:val="93"/>
              </w:rPr>
              <w:t>Common stock, $0.01 par value; 200,000 shares authorized; 36,648 and 36,146 shares issued and 34,909 and 35,686</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shares outstanding as of June 30, 2016 and December 31, 2015,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500"/>
              <w:spacing w:after="0"/>
              <w:rPr>
                <w:sz w:val="20"/>
                <w:szCs w:val="20"/>
                <w:color w:val="auto"/>
              </w:rPr>
            </w:pPr>
            <w:r>
              <w:rPr>
                <w:rFonts w:ascii="Arial" w:cs="Arial" w:eastAsia="Arial" w:hAnsi="Arial"/>
                <w:sz w:val="16"/>
                <w:szCs w:val="16"/>
                <w:color w:val="auto"/>
              </w:rPr>
              <w:t>Treasury stock, at cost; 1,739 and 460 shares as of June 30, 2016 and December 31, 2015, respectively</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(59,728)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(15,635)</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213,851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500"/>
              <w:spacing w:after="0"/>
              <w:rPr>
                <w:sz w:val="20"/>
                <w:szCs w:val="20"/>
                <w:color w:val="auto"/>
              </w:rPr>
            </w:pPr>
            <w:r>
              <w:rPr>
                <w:rFonts w:ascii="Arial" w:cs="Arial" w:eastAsia="Arial" w:hAnsi="Arial"/>
                <w:sz w:val="16"/>
                <w:szCs w:val="16"/>
                <w:color w:val="auto"/>
              </w:rPr>
              <w:t>Accumulated comprehensive loss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(6,449)</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109,819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96,437</w:t>
            </w:r>
          </w:p>
        </w:tc>
        <w:tc>
          <w:tcPr>
            <w:tcW w:w="0" w:type="dxa"/>
            <w:vAlign w:val="bottom"/>
          </w:tcPr>
          <w:p>
            <w:pPr>
              <w:spacing w:after="0"/>
              <w:rPr>
                <w:sz w:val="1"/>
                <w:szCs w:val="1"/>
                <w:color w:val="auto"/>
              </w:rPr>
            </w:pPr>
          </w:p>
        </w:tc>
      </w:tr>
      <w:tr>
        <w:trPr>
          <w:trHeight w:val="231"/>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274,133</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288,565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468,377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469,121</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9"/>
        </w:trPr>
        <w:tc>
          <w:tcPr>
            <w:tcW w:w="6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124,419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241,071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201,887</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52,245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42,545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100,308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82,070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58,659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52,534</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11,971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23,196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20,873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28,508</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113,942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94,699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219,772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183,985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17,902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(2,619)</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7,693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13,382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8,580</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Undistributed earnings to participating stockholder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Net income available to common stockholders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7,249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13,382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8,578</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income per share available to common stockholders: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35,750</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35,642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36,340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35,870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36,267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5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r>
      <w:tr>
        <w:trPr>
          <w:trHeight w:val="270"/>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7,249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13,382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8,580</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Foreign currency translation (loss) gain</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(4,261)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3,479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380</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 on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(4,107)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3,488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8,977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5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70"/>
        </w:trPr>
        <w:tc>
          <w:tcPr>
            <w:tcW w:w="8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13,382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8,580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6,494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Non-cash equity-based compensation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14,605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15,088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Settlement of contingent consideration liability in excess of acquisition-date fair value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effect from exercise/vesting of equity awards,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Bad debt reserve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Chargeback and sales refund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Credit card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(6,202)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and 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Accounts payable and other current and non-current liabilities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Contributor royalties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13,476</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41,603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40,099</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(6,084)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(132,398)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(130,982)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Sale and maturities of investments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124,600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130,953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(62,379)</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Acquisition of digital content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Security deposit payment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(26,443)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(70,036)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Purchase of treasury shares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5,697</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issuance of common stock under 2012 Employee Stock Purchase Plan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of contingent consideration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Tax effect from exercise/vesting of equity awards,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1,700</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8,449</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Effect of foreign exchange rate changes on cash</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(21,974)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241,304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233,453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210,918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211,479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Cash paid for income taxes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11,890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7,807</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117"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Shutterstock, Inc., together with its subsidiaries (collectively, the “Company” or “Shutterstock”), operates a global marketplace and is a leading provider of high-quality creative content including: (a) digital imagery, which consists of licensed photographs, vectors, illustrations and video clips that customers use in their visual communications, such as websites, digital and print marketing materials, corporate communications, books, publications and video content; and</w:t>
      </w:r>
    </w:p>
    <w:p>
      <w:pPr>
        <w:ind w:right="260" w:firstLine="8"/>
        <w:spacing w:after="0" w:line="273"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commercial music, which consists of high-quality music tracks and sound effects, and is often used to complement the digital imagery. The Company licenses creative content to its customers. Contributors upload their creative content to the Company’s websites in exchange for royalty payments based on customer download activity. The Company also offers digital asset management services through its cloud-based digital asset management platform, WebDAM. This service provides tools for customers to better manage creative content and brand management assets.</w:t>
      </w:r>
    </w:p>
    <w:p>
      <w:pPr>
        <w:spacing w:after="0" w:line="6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recent years, the Company has grown, in part, through acquisitions, most notably through the acquisition of WebDAM in 2014 and the acquisitions of Rex Features and PremiumBeat in 2015. The Company is headquartered in New York City with offices in Amsterdam, Berlin, Chicago, Dallas, Denver, London, Los Angeles, Montreal, Paris, San Francisco and Silicon Valley.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560" w:firstLine="405"/>
        <w:spacing w:after="0" w:line="259" w:lineRule="auto"/>
        <w:rPr>
          <w:sz w:val="20"/>
          <w:szCs w:val="20"/>
          <w:color w:val="auto"/>
        </w:rPr>
      </w:pPr>
      <w:r>
        <w:rPr>
          <w:rFonts w:ascii="Arial" w:cs="Arial" w:eastAsia="Arial" w:hAnsi="Arial"/>
          <w:sz w:val="18"/>
          <w:szCs w:val="18"/>
          <w:color w:val="auto"/>
        </w:rPr>
        <w:t>The unaudited consolidated financial statements and accompanying notes have been prepared in accordance with accounting principles generally accepted in the United States of America (“U.S. GAAP”) for interim financial information and with the instructions to Form 10-Q and Article 10 of Regulation S-X. Accordingly, these financial statements do not include all information and footnotes required by U.S. GAAP for complete financial statements.</w:t>
      </w:r>
    </w:p>
    <w:p>
      <w:pPr>
        <w:spacing w:after="0" w:line="79"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interim consolidated balance sheet as of June 30, 2016, the consolidated statements of operations and comprehensive income for the three and six months ended June 30, 2016 and 2015, and the consolidated statement of cash flows for the six months ended June 30, 2016 and 2015 are unaudited. The consolidated balance sheet as of December 31, 2015, included herein, was derived from the audited financial statements as of that date, but does not include all disclosures required by U.S. GAAP. These unaudited interim financial statements have been prepared on a basis consistent with the Company’s annual financial statements and, in the opinion of management, reflect all adjustments, which include only normal recurring adjustments necessary to state fairly the Company’s financial position as of June 30, 2016 and its consolidated results of operations, comprehensive income and cash flows for the three and six months ended June 30, 2016 and 2015. The financial data and the other financial information disclosed in the notes to the financial statements related to these periods are also unaudited. The results of operations for the three and six months ended June 30, 2016 are not necessarily indicative of the results to be expected for the fiscal year ending December 31, 2016 or for any other future annual or interim period.</w:t>
      </w:r>
    </w:p>
    <w:p>
      <w:pPr>
        <w:spacing w:after="0" w:line="5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There have been no material changes in the significant accounting policies from those that were disclosed in the Company’s Annual Report on Form 10-K for the fiscal year ended December 31, 2015 filed with the SEC on February 24, 2016. These financial statements should also be read in conjunction with the audited consolidated financial statements and notes thereto for the year ended December 31, 2015.</w:t>
      </w:r>
    </w:p>
    <w:p>
      <w:pPr>
        <w:spacing w:after="0" w:line="7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sales refund reserve, accruals related to self-insurance, the fair value of goodwill, intangible assets and other long-lived assets, non-cash equity-based compensation, the fair value of contingent consideration, the provision for income taxes and the amount of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Company’s restricted cash relates to security deposits for its office leases. As of June 30, 2016 and December 31, 2015, the Company had restricted cash of approximately $2.6 million and $1.8 million, respectively, in other assets that related to the lease for its headquarters in New York City, which expires in 2029. In January 2016, this lease was amended to provide additional space and extend the lease term, which required an increased security deposit. The carrying value of restricted cash approximates fair value.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240" w:firstLine="405"/>
        <w:spacing w:after="0" w:line="297" w:lineRule="auto"/>
        <w:rPr>
          <w:sz w:val="20"/>
          <w:szCs w:val="20"/>
          <w:color w:val="auto"/>
        </w:rPr>
      </w:pPr>
      <w:r>
        <w:rPr>
          <w:rFonts w:ascii="Arial" w:cs="Arial" w:eastAsia="Arial" w:hAnsi="Arial"/>
          <w:sz w:val="16"/>
          <w:szCs w:val="16"/>
          <w:color w:val="auto"/>
        </w:rPr>
        <w:t>The Company’s accounts receivable consist of customer obligations due under normal trade terms, carried at their face value less an allowance for doubtful accounts, if required. The Company determines its allowance for doubtful accounts based on an evaluation of the aging of its accounts receivable and on a customer-by-customer basis where appropriate. The Company’s reserve analysis contemplates the Company’s historical loss rate on receivables, specific customer situations and the economic environments in which the Company operates. As of June 30, 2016 and December 31, 2015, the Company’s allowance for doubtful accounts was approximately $6.2 million and $3.8 million, respectively, which was included as a reduction of accounts receivable.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11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June 30, 2016, the Company had deferred rent of $7.7 million, of which $0.7 million was included in other liabilities and $7.0 million was included in other non-current liabilities. As of December 31, 2015, the Company had deferred rent of $8.0 million, of which $0.7 million was included in other liabilities and $7.3 million was included in other non-current liabilities.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Chargeback and Sales Refund Allowance</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majority of the Company’s customers purchase products by making an electronic payment with a credit card at the time of a transaction. The Company establishes a chargeback allowance and sales refund reserve allowance based on factors surrounding historical credit card chargeback trends, historical sales refund trends and other information. As of both June 30, 2016 and December 31, 2015, the Company’s combined allowance for chargebacks and sales refunds was $0.7 million, which was included in other liabilities.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Self-insurance Costs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is partially self-insured for claims relating to employee medical benefit programs. The medical self-insurance program is administered by a third party and contains stop-loss provisions on both an individual claim basis and in aggregate. The Company records claims incurred as an expense each period, including an estimate of claims incurred but not yet reported. The Company uses claims data and historical experience, as applicable, to estimate the liability for unreported claims and believes that the methodologies used to estimate insurance liabilities result in an accurate reflection of the liabilities as of the date of the balance sheet.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records a liability for contingent consideration at the date of a business combination and reassesses the fair value of the liability each period until it is settled. Upon settlement of these liabilities, the portion of the contingent consideration payment that is attributable to the initial amount recorded as part of the business combination is classified as a cash flow from financing activities and the portion of the settlement that is attributable to subsequent changes in the fair value of the contingent consideration is classified as a cash flow from operating activities in the consolidated statement of cash 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Company’s income tax expense includes U.S. (federal and state) and foreign income taxes. Significant management judgment is required in projecting ordinary income in order to determine the Company’s estimated effective tax rate.</w:t>
      </w:r>
    </w:p>
    <w:p>
      <w:pPr>
        <w:spacing w:after="0" w:line="2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has assessed the realizability of deferred tax assets and determined that based on the available evidence, including a history of taxable income and estimates of future taxable income, it is more likely than not that the deferred tax assets will be realized. Quarterly, the Company will continue to evaluate its ability to realize deferred tax assets. Significant management judgment is required in determining the provision for income taxes and deferred tax assets and liabilities. In the</w:t>
      </w:r>
    </w:p>
    <w:p>
      <w:pPr>
        <w:sectPr>
          <w:pgSz w:w="11900" w:h="16838" w:orient="portrait"/>
          <w:cols w:equalWidth="0" w:num="1">
            <w:col w:w="11380"/>
          </w:cols>
          <w:pgMar w:left="240" w:top="125" w:right="279" w:bottom="1440" w:gutter="0" w:footer="0" w:header="0"/>
        </w:sectPr>
      </w:pPr>
    </w:p>
    <w:p>
      <w:pPr>
        <w:spacing w:after="0" w:line="349"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40" w:top="125" w:right="279" w:bottom="1440" w:gutter="0" w:footer="0" w:header="0"/>
          <w:type w:val="continuous"/>
        </w:sectPr>
      </w:pPr>
    </w:p>
    <w:bookmarkStart w:id="9" w:name="page10"/>
    <w:bookmarkEnd w:id="9"/>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event that actual results differ from these estimates, the Company will adjust these estimates in future periods, which may result in a change in the effective tax rate in a future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117"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March 2016, the Financial Accounting Standards Board (“FASB”) issued new guidance related to stock-based compensation. The new standard changes how companies account for certain aspects of share-based payment awards to employees, including the accounting for income taxes, forfeitures, and statutory tax withholding requirements, as well as the classification of certain related items in the statement of cash flows. The guidance is effective for fiscal years, and interim periods within those fiscal years, beginning after December 15, 2016. Early adoption is permitted. Amendments related to the timing of when excess tax benefits are recognized, minimum statutory withholding requirements, forfeitures, and intrinsic value should be applied using a modified retrospective approach; amendments related to the recognition of excess tax benefits and tax deficiencies in the income statement and the practical expedient for estimating expected term should be applied prospectively; and amendments related to the presentation of excess tax benefits on the statement of cash flows may be applied prospectively or retrospectively. The Company is evaluating the impact of adopting this new accounting standard on its financial statements.</w:t>
      </w:r>
    </w:p>
    <w:p>
      <w:pPr>
        <w:spacing w:after="0" w:line="74"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February 2016, the FASB issued new guidance related to leases. The new standard requires that the rights and obligations created by leases with a duration greater than 12 months be recorded as assets and liabilities on the balance sheet of the lessee. The guidance is effective for fiscal years, and interim periods within those fiscal years, beginning after December 15, 2018 and can be applied using a modified retrospective approach for all leases entered into before the effective date. Early adoption is permitted. The Company is evaluating the impact of adopting this new accounting standard on its financial statements.</w:t>
      </w:r>
    </w:p>
    <w:p>
      <w:pPr>
        <w:spacing w:after="0" w:line="21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November 2015, the FASB issued new guidance related to income taxes. The new standard requires that all deferred tax assets and liabilities, and any related valuation allowance, be classified as non-current on the balance sheet. The guidance is effective for fiscal years, and interim periods within those fiscal years, beginning after December 15, 2016, although early adoption is permitted and can be applied either prospectively or retrospectively to all periods presented. The Company is evaluating the impact of adopting this new accounting standard on its financial statements.</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May 2014, the FASB issued new accounting guidance related to revenue recognition. This new standard will replace all current U.S. GAAP guidance on this topic and will eliminate all industry-specific 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On July 9, 2015, the FASB approved the deferral of the effective date of this guidance by one year. As a result, this new guidance will be effective for the fiscal years, and interim periods within those fiscal years, beginning after December 15, 2017. The Company may choose to adopt the standard as of the original effective date for annual reporting periods beginning after December 15, 2016; if it does so, the Company is required to apply the standard beginning in the first interim period within the year of adoption. The Company is evaluating the impact of adopting this new accounting standard on its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fair value hierarchy for its assets and liabilities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2016</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Aggregate Fair</w:t>
            </w:r>
          </w:p>
        </w:tc>
        <w:tc>
          <w:tcPr>
            <w:tcW w:w="320" w:type="dxa"/>
            <w:vAlign w:val="bottom"/>
          </w:tcPr>
          <w:p>
            <w:pPr>
              <w:spacing w:after="0"/>
              <w:rPr>
                <w:sz w:val="13"/>
                <w:szCs w:val="1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3"/>
                <w:szCs w:val="13"/>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Money market accounts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81,436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81,436</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paper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54,974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40" w:type="dxa"/>
            <w:vAlign w:val="bottom"/>
          </w:tcPr>
          <w:p>
            <w:pPr>
              <w:ind w:left="280"/>
              <w:spacing w:after="0"/>
              <w:rPr>
                <w:sz w:val="20"/>
                <w:szCs w:val="20"/>
                <w:color w:val="auto"/>
              </w:rPr>
            </w:pPr>
            <w:r>
              <w:rPr>
                <w:rFonts w:ascii="Arial" w:cs="Arial" w:eastAsia="Arial" w:hAnsi="Arial"/>
                <w:sz w:val="16"/>
                <w:szCs w:val="16"/>
                <w:color w:val="auto"/>
              </w:rPr>
              <w:t>Total assets measured at fair value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136,410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81,436</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54,974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1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Acquisition-related contingent consideration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9,570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9,570</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measured at fair value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9,570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As of December 31, 2015</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Aggregate Fair</w:t>
            </w:r>
          </w:p>
        </w:tc>
        <w:tc>
          <w:tcPr>
            <w:tcW w:w="320" w:type="dxa"/>
            <w:vAlign w:val="bottom"/>
          </w:tcPr>
          <w:p>
            <w:pPr>
              <w:spacing w:after="0"/>
              <w:rPr>
                <w:sz w:val="13"/>
                <w:szCs w:val="1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Money market accounts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89,153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89,153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paper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47,078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40" w:type="dxa"/>
            <w:vAlign w:val="bottom"/>
          </w:tcPr>
          <w:p>
            <w:pPr>
              <w:ind w:left="280"/>
              <w:spacing w:after="0"/>
              <w:rPr>
                <w:sz w:val="20"/>
                <w:szCs w:val="20"/>
                <w:color w:val="auto"/>
              </w:rPr>
            </w:pPr>
            <w:r>
              <w:rPr>
                <w:rFonts w:ascii="Arial" w:cs="Arial" w:eastAsia="Arial" w:hAnsi="Arial"/>
                <w:sz w:val="16"/>
                <w:szCs w:val="16"/>
                <w:color w:val="auto"/>
              </w:rPr>
              <w:t>Total assets measured at fair value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136,231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89,153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47,078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1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Acquisition-related contingent consideration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11,075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11,075</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measured at fair value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11,075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11,075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Market Accounts</w:t>
      </w:r>
    </w:p>
    <w:p>
      <w:pPr>
        <w:spacing w:after="0" w:line="6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Cash equivalents include money market accounts and are classified as a level 1 measurement based on quoted prices in active markets for identical assets that the reporting entity can access at the measurement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63"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Company’s short-term investments consist of commercial paper with original maturity dates of 90 days or less, which are available to support current operations and are classified as available-for-sale securities. Commercial paper is classified as a level 2 measurement based on quoted market prices for identical assets, which are subject to infrequent transactions.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Short-term investments are summarized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2016</w:t>
            </w:r>
          </w:p>
        </w:tc>
        <w:tc>
          <w:tcPr>
            <w:tcW w:w="120" w:type="dxa"/>
            <w:vAlign w:val="bottom"/>
          </w:tcPr>
          <w:p>
            <w:pPr>
              <w:spacing w:after="0"/>
              <w:rPr>
                <w:sz w:val="14"/>
                <w:szCs w:val="14"/>
                <w:color w:val="auto"/>
              </w:rPr>
            </w:pPr>
          </w:p>
        </w:tc>
        <w:tc>
          <w:tcPr>
            <w:tcW w:w="1340" w:type="dxa"/>
            <w:vAlign w:val="bottom"/>
          </w:tcPr>
          <w:p>
            <w:pPr>
              <w:jc w:val="right"/>
              <w:ind w:right="62"/>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b w:val="1"/>
                <w:bCs w:val="1"/>
                <w:color w:val="auto"/>
              </w:rPr>
              <w:t>Commercial Paper:</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Amortized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54,981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47,084</w:t>
            </w:r>
          </w:p>
        </w:tc>
        <w:tc>
          <w:tcPr>
            <w:tcW w:w="0" w:type="dxa"/>
            <w:vAlign w:val="bottom"/>
          </w:tcPr>
          <w:p>
            <w:pPr>
              <w:spacing w:after="0"/>
              <w:rPr>
                <w:sz w:val="1"/>
                <w:szCs w:val="1"/>
                <w:color w:val="auto"/>
              </w:rPr>
            </w:pP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Unrealized gains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losses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4"/>
        </w:trPr>
        <w:tc>
          <w:tcPr>
            <w:tcW w:w="8320" w:type="dxa"/>
            <w:vAlign w:val="bottom"/>
          </w:tcPr>
          <w:p>
            <w:pPr>
              <w:ind w:left="280"/>
              <w:spacing w:after="0"/>
              <w:rPr>
                <w:sz w:val="20"/>
                <w:szCs w:val="20"/>
                <w:color w:val="auto"/>
              </w:rPr>
            </w:pPr>
            <w:r>
              <w:rPr>
                <w:rFonts w:ascii="Arial" w:cs="Arial" w:eastAsia="Arial" w:hAnsi="Arial"/>
                <w:sz w:val="16"/>
                <w:szCs w:val="16"/>
                <w:color w:val="auto"/>
              </w:rPr>
              <w:t>Total short-term investments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54,974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47,078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6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reassesses the fair value of contingent consideration to be settled in cash related to certain of the Company’s acquisitions using the Black-Scholes model until the settlement amount of the cash flow is determinable. These contingencies are considered level 3 measurements. Significant assumptions used in measuring the fair value include probabilities of achieving certain revenue milestones based on the Company’s expectations and a discount rate which is based on an unobservable input that is supported by little or no market activity.</w:t>
      </w:r>
    </w:p>
    <w:p>
      <w:pPr>
        <w:spacing w:after="0" w:line="7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December 31, 2015, the settlement amount of the contingent consideration related to the Company’s acquisition of WebDAM was determined to be $4.0 million and was included in other liabilities. No changes in fair value were recorded during the six months ended June 30, 2016. The contingent consideration of $4.0 million was paid in April 2016, and there was no remaining liability as of June 30, 2016.</w:t>
      </w:r>
    </w:p>
    <w:p>
      <w:pPr>
        <w:spacing w:after="0" w:line="73"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During the first quarter of fiscal 2016, the settlement amount of the contingent consideration related to the PremiumBeat acquisition was determined to be $10.0 million, which will be paid during 2017. As of June 30, 2016, the present value of the amount to be paid was $9.6 million and was included in other liabilities. As of December 31, 2015, the fair value of the contingent consideration was $7.1 million, and was included in other non-current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Measurements</w:t>
      </w:r>
    </w:p>
    <w:p>
      <w:pPr>
        <w:spacing w:after="0" w:line="6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Cash, accounts receivable, restricted cash, accounts payable, accrued expenses and deferred revenue carrying amounts approximate fair value because of the short-term nature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non-financial assets be recorded at fair value.</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is summarized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2016</w:t>
            </w:r>
          </w:p>
        </w:tc>
        <w:tc>
          <w:tcPr>
            <w:tcW w:w="120" w:type="dxa"/>
            <w:vAlign w:val="bottom"/>
          </w:tcPr>
          <w:p>
            <w:pPr>
              <w:spacing w:after="0"/>
              <w:rPr>
                <w:sz w:val="14"/>
                <w:szCs w:val="14"/>
                <w:color w:val="auto"/>
              </w:rPr>
            </w:pPr>
          </w:p>
        </w:tc>
        <w:tc>
          <w:tcPr>
            <w:tcW w:w="1340" w:type="dxa"/>
            <w:vAlign w:val="bottom"/>
          </w:tcPr>
          <w:p>
            <w:pPr>
              <w:jc w:val="right"/>
              <w:ind w:right="61"/>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and software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46,867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37,502</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2,837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14,471</w:t>
            </w:r>
          </w:p>
        </w:tc>
        <w:tc>
          <w:tcPr>
            <w:tcW w:w="0" w:type="dxa"/>
            <w:vAlign w:val="bottom"/>
          </w:tcPr>
          <w:p>
            <w:pPr>
              <w:spacing w:after="0"/>
              <w:rPr>
                <w:sz w:val="1"/>
                <w:szCs w:val="1"/>
                <w:color w:val="auto"/>
              </w:rPr>
            </w:pPr>
          </w:p>
        </w:tc>
      </w:tr>
      <w:tr>
        <w:trPr>
          <w:trHeight w:val="217"/>
        </w:trPr>
        <w:tc>
          <w:tcPr>
            <w:tcW w:w="8320" w:type="dxa"/>
            <w:vAlign w:val="bottom"/>
          </w:tcPr>
          <w:p>
            <w:pPr>
              <w:ind w:left="180"/>
              <w:spacing w:after="0"/>
              <w:rPr>
                <w:sz w:val="20"/>
                <w:szCs w:val="20"/>
                <w:color w:val="auto"/>
              </w:rPr>
            </w:pPr>
            <w:r>
              <w:rPr>
                <w:rFonts w:ascii="Arial" w:cs="Arial" w:eastAsia="Arial" w:hAnsi="Arial"/>
                <w:sz w:val="16"/>
                <w:szCs w:val="16"/>
                <w:color w:val="auto"/>
              </w:rPr>
              <w:t>Property and equipment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65,452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54,906</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(22,812)</w:t>
            </w:r>
          </w:p>
        </w:tc>
        <w:tc>
          <w:tcPr>
            <w:tcW w:w="0" w:type="dxa"/>
            <w:vAlign w:val="bottom"/>
          </w:tcPr>
          <w:p>
            <w:pPr>
              <w:spacing w:after="0"/>
              <w:rPr>
                <w:sz w:val="1"/>
                <w:szCs w:val="1"/>
                <w:color w:val="auto"/>
              </w:rPr>
            </w:pPr>
          </w:p>
        </w:tc>
      </w:tr>
      <w:tr>
        <w:trPr>
          <w:trHeight w:val="217"/>
        </w:trPr>
        <w:tc>
          <w:tcPr>
            <w:tcW w:w="8320" w:type="dxa"/>
            <w:vAlign w:val="bottom"/>
          </w:tcPr>
          <w:p>
            <w:pPr>
              <w:ind w:left="18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41,347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32,094</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Depreciation expense related to property and equipment was $3.5 million and $2.2 million for the three months ended June 30, 2016 and 2015, respectively, and $6.5 million and $4.3 million for the six months ended June 30, 2016 and 2015, respectively. Depreciation expense is included in cost of revenue and general and administrative expense based on the nature of the asset being depreciated.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Internal-Use Software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capitalized costs related to the development of internal-use software of $3.4 million and $0.2 million for the three months ended June 30,</w:t>
      </w:r>
    </w:p>
    <w:p>
      <w:pPr>
        <w:spacing w:after="0" w:line="4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2016 and 2015, respectively, and $6.2 million and $0.3 million for the six months ended June 30, 2016 and 2015, respectively. Capitalized amounts are included as a component of property and equipment under computer equipment and software.</w:t>
      </w:r>
    </w:p>
    <w:p>
      <w:pPr>
        <w:spacing w:after="0" w:line="7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portion of total depreciation expense related to capitalized internal-use software was $0.7 million and $0.1 million for the three months ended June 30, 2016 and 2015, respectively, and $1.2 million and $0.2 million for the six months ended June 30, 2016 and 2015, respectively. Depreciation expense related to capitalized internal-use software is included in cost of revenue and general and administrative expense.</w:t>
      </w:r>
    </w:p>
    <w:p>
      <w:pPr>
        <w:spacing w:after="0" w:line="5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June 30, 2016 and December 31, 2015, the Company had capitalized internal-use software of $9.0 million and $3.9 million, respectively, net of accumulated depreciation, which was included in property and equipment, net.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Intangible Assets and Acquisition Activity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Company’s goodwill balance is attributable to its Bigstock, Editorial, Music and WebDAM reporting units and is tested for impairment at least annually on October 1 or upon a triggering event. Bigstock, Music and Editorial are included in the Company's “Content Business” reporting segment while WebDAM is included in the non-reportable “Other Category”. The following table summarizes the changes in the Company’s goodwill balance by reportable and non-reportable segments through June 30, 2016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Consolidated</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Content Business</w:t>
            </w:r>
          </w:p>
        </w:tc>
        <w:tc>
          <w:tcPr>
            <w:tcW w:w="260" w:type="dxa"/>
            <w:vAlign w:val="bottom"/>
          </w:tcPr>
          <w:p>
            <w:pPr>
              <w:spacing w:after="0"/>
              <w:rPr>
                <w:sz w:val="16"/>
                <w:szCs w:val="16"/>
                <w:color w:val="auto"/>
              </w:rPr>
            </w:pPr>
          </w:p>
        </w:tc>
        <w:tc>
          <w:tcPr>
            <w:tcW w:w="1560" w:type="dxa"/>
            <w:vAlign w:val="bottom"/>
          </w:tcPr>
          <w:p>
            <w:pPr>
              <w:jc w:val="right"/>
              <w:ind w:right="341"/>
              <w:spacing w:after="0"/>
              <w:rPr>
                <w:sz w:val="20"/>
                <w:szCs w:val="20"/>
                <w:color w:val="auto"/>
              </w:rPr>
            </w:pPr>
            <w:r>
              <w:rPr>
                <w:rFonts w:ascii="Arial" w:cs="Arial" w:eastAsia="Arial" w:hAnsi="Arial"/>
                <w:sz w:val="14"/>
                <w:szCs w:val="14"/>
                <w:b w:val="1"/>
                <w:bCs w:val="1"/>
                <w:color w:val="auto"/>
              </w:rPr>
              <w:t>Other Category</w:t>
            </w:r>
          </w:p>
        </w:tc>
      </w:tr>
      <w:tr>
        <w:trPr>
          <w:trHeight w:val="236"/>
        </w:trPr>
        <w:tc>
          <w:tcPr>
            <w:tcW w:w="5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2015</w:t>
            </w: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50,934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42,171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8,763</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20" w:type="dxa"/>
            <w:vAlign w:val="bottom"/>
          </w:tcPr>
          <w:p>
            <w:pPr>
              <w:spacing w:after="0"/>
              <w:rPr>
                <w:sz w:val="20"/>
                <w:szCs w:val="20"/>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51,423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8,763</w:t>
            </w: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triggering events were identified during the six months ended June 30, 2016.</w:t>
      </w:r>
    </w:p>
    <w:p>
      <w:pPr>
        <w:spacing w:after="0" w:line="36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consisted of the following as of June 30, 2016 and December 31, 2015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As of June 30, 2016</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11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180" w:type="dxa"/>
            <w:vAlign w:val="bottom"/>
          </w:tcPr>
          <w:p>
            <w:pPr>
              <w:jc w:val="right"/>
              <w:ind w:right="201"/>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180" w:type="dxa"/>
            <w:vAlign w:val="bottom"/>
          </w:tcPr>
          <w:p>
            <w:pPr>
              <w:jc w:val="right"/>
              <w:ind w:right="201"/>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Amortizing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Customer relationships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18,287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(3,692)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19,523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name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Developed technology</w:t>
            </w:r>
          </w:p>
        </w:tc>
        <w:tc>
          <w:tcPr>
            <w:tcW w:w="2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3,457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3,734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Contributor content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Patents</w:t>
            </w:r>
          </w:p>
        </w:tc>
        <w:tc>
          <w:tcPr>
            <w:tcW w:w="2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Domain name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35,290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(7,672)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35,819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Amortization expense was $1.3 million for both of the three months ended June 30, 2016 and 2015 and $2.5 million and $2.2 million for the six months ended June 30, 2016 and 2015, respectively. The Company determined that there was no indication of impairment of the intangible assets for any period presented. Estimated amortization expense for the next five years is: $2.5 million for the remaining six months of 2016, $5.0 million in 2017, $4.1 million in 2018, $3.9 million in 2019, $3.3 million in 2020, $2.8 million in 2021 and $5.9 million thereafter.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Activity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Rex Features</w:t>
      </w:r>
    </w:p>
    <w:p>
      <w:pPr>
        <w:spacing w:after="0" w:line="6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On January 19, 2015, the Company acquired all of the shares of Rex Features (Holdings) Limited, or Rex Features, pursuant to a stock purchase agreement. The total purchase price consisted of a cash payment of $32.7 million subject to certain working capital adjustments. The transaction was accounted for using the acquisition method and, accordingly, the results of the acquired business have been included in the Company’s results of operations from the acquisition date.</w:t>
      </w:r>
    </w:p>
    <w:p>
      <w:pPr>
        <w:spacing w:after="0" w:line="79" w:lineRule="exact"/>
        <w:rPr>
          <w:sz w:val="20"/>
          <w:szCs w:val="20"/>
          <w:color w:val="auto"/>
        </w:rPr>
      </w:pPr>
    </w:p>
    <w:p>
      <w:pPr>
        <w:jc w:val="both"/>
        <w:ind w:right="20" w:firstLine="450"/>
        <w:spacing w:after="0" w:line="264" w:lineRule="auto"/>
        <w:rPr>
          <w:sz w:val="20"/>
          <w:szCs w:val="20"/>
          <w:color w:val="auto"/>
        </w:rPr>
      </w:pPr>
      <w:r>
        <w:rPr>
          <w:rFonts w:ascii="Arial" w:cs="Arial" w:eastAsia="Arial" w:hAnsi="Arial"/>
          <w:sz w:val="18"/>
          <w:szCs w:val="18"/>
          <w:color w:val="auto"/>
        </w:rPr>
        <w:t>Goodwill related to the acquisition of Rex Features is attributable to its ability to serve as the foundation of the Company’s editorial offering, serving as a base for accelerating the growth of the offering by leveraging Rex Features’ editorial expertise and the Company’s technical capabilities and position in the marketplace, and is not deductible for tax purposes.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PremiumBeat</w:t>
      </w:r>
    </w:p>
    <w:p>
      <w:pPr>
        <w:spacing w:after="0" w:line="6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January 22, 2015, the Company acquired substantially all of the assets and certain liabilities of Arbour Interactive, Inc., or PremiumBeat, pursuant to an asset purchase agreement. The total purchase price of $35.4 million consisted of a cash payment of $31.7 million and $3.7 million in contingent consideration based on certain performance criteria. As of June 30, 2016, the fair value of the contingent consideration related to the PremiumBeat acquisition was $9.6 million, which represents the present value of the amount that will be paid, and is included in other liabilities. During the six months ended June 30, 2016, the Company recorded a change in the fair value of the contingent consideration in the amount of $2.5 million, of which $0.8 million was recorded as a component of other (expense) income, net related to the passage of time and $1.7 million was recorded as a component of general and administrative expense related to a modification of the terms of the contingent consideration agreement. The transaction was accounted for using the acquisition method and, accordingly, the results of the acquired business have been included in the Company’s results of operations from the acquisition date.</w:t>
      </w:r>
    </w:p>
    <w:p>
      <w:pPr>
        <w:spacing w:after="0" w:line="58"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Goodwill related to the acquisition of PremiumBeat is attributable to expected synergies from future growth and the ability to accelerate the growth of the Company’s music offering by leveraging PremiumBeat’s experience in the music market, and is deductible for tax purposes.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Acquisition Activity</w:t>
      </w:r>
    </w:p>
    <w:p>
      <w:pPr>
        <w:spacing w:after="0" w:line="6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fair value of consideration transferred in the acquisitions of Rex Features and PremiumBeat was allocated to the intangible and tangible assets acquired and liabilities assumed at the acquisition date, with the remaining unallocated amount recorded as goodwill. The fair values of intangible assets were determined primarily using the income approach.</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1440" w:gutter="0" w:footer="0" w:header="0"/>
          <w:type w:val="continuous"/>
        </w:sectPr>
      </w:pPr>
    </w:p>
    <w:bookmarkStart w:id="13" w:name="page14"/>
    <w:bookmarkEnd w:id="13"/>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purchase price was allocated to the assets acquired and liabilities assumed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3"/>
              </w:rPr>
              <w:t>Acquisition Activity</w:t>
            </w:r>
          </w:p>
        </w:tc>
        <w:tc>
          <w:tcPr>
            <w:tcW w:w="0" w:type="dxa"/>
            <w:vAlign w:val="bottom"/>
          </w:tcPr>
          <w:p>
            <w:pPr>
              <w:spacing w:after="0"/>
              <w:rPr>
                <w:sz w:val="1"/>
                <w:szCs w:val="1"/>
                <w:color w:val="auto"/>
              </w:rPr>
            </w:pPr>
          </w:p>
        </w:tc>
      </w:tr>
      <w:tr>
        <w:trPr>
          <w:trHeight w:val="210"/>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acquired: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9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920" w:type="dxa"/>
            <w:vAlign w:val="bottom"/>
          </w:tcPr>
          <w:p>
            <w:pPr>
              <w:ind w:left="180"/>
              <w:spacing w:after="0"/>
              <w:rPr>
                <w:sz w:val="20"/>
                <w:szCs w:val="20"/>
                <w:color w:val="auto"/>
              </w:rPr>
            </w:pPr>
            <w:r>
              <w:rPr>
                <w:rFonts w:ascii="Arial" w:cs="Arial" w:eastAsia="Arial" w:hAnsi="Arial"/>
                <w:sz w:val="16"/>
                <w:szCs w:val="16"/>
                <w:color w:val="auto"/>
              </w:rPr>
              <w:t>Cash</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33"/>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24"/>
        </w:trPr>
        <w:tc>
          <w:tcPr>
            <w:tcW w:w="992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9"/>
                <w:szCs w:val="19"/>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33"/>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assets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57"/>
        </w:trPr>
        <w:tc>
          <w:tcPr>
            <w:tcW w:w="9920" w:type="dxa"/>
            <w:vAlign w:val="bottom"/>
          </w:tcPr>
          <w:p>
            <w:pPr>
              <w:ind w:left="180"/>
              <w:spacing w:after="0"/>
              <w:rPr>
                <w:sz w:val="20"/>
                <w:szCs w:val="20"/>
                <w:color w:val="auto"/>
              </w:rPr>
            </w:pPr>
            <w:r>
              <w:rPr>
                <w:rFonts w:ascii="Arial" w:cs="Arial" w:eastAsia="Arial" w:hAnsi="Arial"/>
                <w:sz w:val="16"/>
                <w:szCs w:val="16"/>
                <w:color w:val="auto"/>
              </w:rPr>
              <w:t>Intangible assets</w:t>
            </w:r>
            <w:r>
              <w:rPr>
                <w:rFonts w:ascii="Arial" w:cs="Arial" w:eastAsia="Arial" w:hAnsi="Arial"/>
                <w:sz w:val="21"/>
                <w:szCs w:val="21"/>
                <w:color w:val="auto"/>
                <w:vertAlign w:val="superscript"/>
              </w:rPr>
              <w:t>(1)</w:t>
            </w:r>
          </w:p>
        </w:tc>
        <w:tc>
          <w:tcPr>
            <w:tcW w:w="120" w:type="dxa"/>
            <w:vAlign w:val="bottom"/>
          </w:tcPr>
          <w:p>
            <w:pPr>
              <w:spacing w:after="0"/>
              <w:rPr>
                <w:sz w:val="22"/>
                <w:szCs w:val="22"/>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27,433</w:t>
            </w:r>
          </w:p>
        </w:tc>
        <w:tc>
          <w:tcPr>
            <w:tcW w:w="0" w:type="dxa"/>
            <w:vAlign w:val="bottom"/>
          </w:tcPr>
          <w:p>
            <w:pPr>
              <w:spacing w:after="0"/>
              <w:rPr>
                <w:sz w:val="1"/>
                <w:szCs w:val="1"/>
                <w:color w:val="auto"/>
              </w:rPr>
            </w:pPr>
          </w:p>
        </w:tc>
      </w:tr>
      <w:tr>
        <w:trPr>
          <w:trHeight w:val="237"/>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44,767</w:t>
            </w:r>
          </w:p>
        </w:tc>
        <w:tc>
          <w:tcPr>
            <w:tcW w:w="0" w:type="dxa"/>
            <w:vAlign w:val="bottom"/>
          </w:tcPr>
          <w:p>
            <w:pPr>
              <w:spacing w:after="0"/>
              <w:rPr>
                <w:sz w:val="1"/>
                <w:szCs w:val="1"/>
                <w:color w:val="auto"/>
              </w:rPr>
            </w:pPr>
          </w:p>
        </w:tc>
      </w:tr>
      <w:tr>
        <w:trPr>
          <w:trHeight w:val="224"/>
        </w:trPr>
        <w:tc>
          <w:tcPr>
            <w:tcW w:w="9920" w:type="dxa"/>
            <w:vAlign w:val="bottom"/>
          </w:tcPr>
          <w:p>
            <w:pPr>
              <w:ind w:left="180"/>
              <w:spacing w:after="0"/>
              <w:rPr>
                <w:sz w:val="20"/>
                <w:szCs w:val="20"/>
                <w:color w:val="auto"/>
              </w:rPr>
            </w:pPr>
            <w:r>
              <w:rPr>
                <w:rFonts w:ascii="Arial" w:cs="Arial" w:eastAsia="Arial" w:hAnsi="Arial"/>
                <w:sz w:val="16"/>
                <w:szCs w:val="16"/>
                <w:color w:val="auto"/>
              </w:rPr>
              <w:t>Deferred tax asset</w:t>
            </w:r>
          </w:p>
        </w:tc>
        <w:tc>
          <w:tcPr>
            <w:tcW w:w="120" w:type="dxa"/>
            <w:vAlign w:val="bottom"/>
          </w:tcPr>
          <w:p>
            <w:pPr>
              <w:spacing w:after="0"/>
              <w:rPr>
                <w:sz w:val="19"/>
                <w:szCs w:val="19"/>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33"/>
        </w:trPr>
        <w:tc>
          <w:tcPr>
            <w:tcW w:w="9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 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78,478</w:t>
            </w:r>
          </w:p>
        </w:tc>
        <w:tc>
          <w:tcPr>
            <w:tcW w:w="0" w:type="dxa"/>
            <w:vAlign w:val="bottom"/>
          </w:tcPr>
          <w:p>
            <w:pPr>
              <w:spacing w:after="0"/>
              <w:rPr>
                <w:sz w:val="1"/>
                <w:szCs w:val="1"/>
                <w:color w:val="auto"/>
              </w:rPr>
            </w:pP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Liabilities assumed: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24"/>
        </w:trPr>
        <w:tc>
          <w:tcPr>
            <w:tcW w:w="9920" w:type="dxa"/>
            <w:vAlign w:val="bottom"/>
          </w:tcPr>
          <w:p>
            <w:pPr>
              <w:ind w:left="180"/>
              <w:spacing w:after="0"/>
              <w:rPr>
                <w:sz w:val="20"/>
                <w:szCs w:val="20"/>
                <w:color w:val="auto"/>
              </w:rPr>
            </w:pPr>
            <w:r>
              <w:rPr>
                <w:rFonts w:ascii="Arial" w:cs="Arial" w:eastAsia="Arial" w:hAnsi="Arial"/>
                <w:sz w:val="16"/>
                <w:szCs w:val="16"/>
                <w:color w:val="auto"/>
              </w:rPr>
              <w:t>Contributor payable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(3,145)</w:t>
            </w:r>
          </w:p>
        </w:tc>
        <w:tc>
          <w:tcPr>
            <w:tcW w:w="0" w:type="dxa"/>
            <w:vAlign w:val="bottom"/>
          </w:tcPr>
          <w:p>
            <w:pPr>
              <w:spacing w:after="0"/>
              <w:rPr>
                <w:sz w:val="1"/>
                <w:szCs w:val="1"/>
                <w:color w:val="auto"/>
              </w:rPr>
            </w:pPr>
          </w:p>
        </w:tc>
      </w:tr>
      <w:tr>
        <w:trPr>
          <w:trHeight w:val="33"/>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24"/>
        </w:trPr>
        <w:tc>
          <w:tcPr>
            <w:tcW w:w="99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9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(4,454)</w:t>
            </w:r>
          </w:p>
        </w:tc>
        <w:tc>
          <w:tcPr>
            <w:tcW w:w="0" w:type="dxa"/>
            <w:vAlign w:val="bottom"/>
          </w:tcPr>
          <w:p>
            <w:pPr>
              <w:spacing w:after="0"/>
              <w:rPr>
                <w:sz w:val="1"/>
                <w:szCs w:val="1"/>
                <w:color w:val="auto"/>
              </w:rPr>
            </w:pP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Total liabilities assumed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(10,306)</w:t>
            </w:r>
          </w:p>
        </w:tc>
        <w:tc>
          <w:tcPr>
            <w:tcW w:w="0" w:type="dxa"/>
            <w:vAlign w:val="bottom"/>
          </w:tcPr>
          <w:p>
            <w:pPr>
              <w:spacing w:after="0"/>
              <w:rPr>
                <w:sz w:val="1"/>
                <w:szCs w:val="1"/>
                <w:color w:val="auto"/>
              </w:rPr>
            </w:pPr>
          </w:p>
        </w:tc>
      </w:tr>
      <w:tr>
        <w:trPr>
          <w:trHeight w:val="33"/>
        </w:trPr>
        <w:tc>
          <w:tcPr>
            <w:tcW w:w="9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68,172</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12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Identifiable intangible assets include customer relationships, trade names, developed technology and content libraries and are being amortized on a straight-line basis over a weighted average life of approximately eight years.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a result of the acquisitions of Rex Features and PremiumBeat, the Company recorded $0.4 million of professional fees in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2015. There were no professional fees related to these acquisitions in the three and six months ended June 30, 2016 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2015. The professional fees are included in general and administrative expense.</w:t>
      </w:r>
    </w:p>
    <w:p>
      <w:pPr>
        <w:spacing w:after="0" w:line="10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Pro forma results of operations have not been presented because the effect of these business combinations was not material to the Company’s pro forma consolidated results of operations for any of the periods presented.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expenses consist of the following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As of June 30, 2016</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61"/>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4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8,995</w:t>
            </w: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Non-income taxes</w:t>
            </w:r>
          </w:p>
        </w:tc>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7,185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7,095</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Royalty tax withholdings</w:t>
            </w:r>
          </w:p>
        </w:tc>
        <w:tc>
          <w:tcPr>
            <w:tcW w:w="4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6,439</w:t>
            </w: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Payroll tax withholdings</w:t>
            </w:r>
          </w:p>
        </w:tc>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4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Marketing expenses</w:t>
            </w:r>
          </w:p>
        </w:tc>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4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6,602</w:t>
            </w:r>
          </w:p>
        </w:tc>
        <w:tc>
          <w:tcPr>
            <w:tcW w:w="0" w:type="dxa"/>
            <w:vAlign w:val="bottom"/>
          </w:tcPr>
          <w:p>
            <w:pPr>
              <w:spacing w:after="0"/>
              <w:rPr>
                <w:sz w:val="1"/>
                <w:szCs w:val="1"/>
                <w:color w:val="auto"/>
              </w:rPr>
            </w:pPr>
          </w:p>
        </w:tc>
      </w:tr>
      <w:tr>
        <w:trPr>
          <w:trHeight w:val="217"/>
        </w:trPr>
        <w:tc>
          <w:tcPr>
            <w:tcW w:w="3760" w:type="dxa"/>
            <w:vAlign w:val="bottom"/>
          </w:tcPr>
          <w:p>
            <w:pPr>
              <w:ind w:left="180"/>
              <w:spacing w:after="0"/>
              <w:rPr>
                <w:sz w:val="20"/>
                <w:szCs w:val="20"/>
                <w:color w:val="auto"/>
              </w:rPr>
            </w:pPr>
            <w:r>
              <w:rPr>
                <w:rFonts w:ascii="Arial" w:cs="Arial" w:eastAsia="Arial" w:hAnsi="Arial"/>
                <w:sz w:val="16"/>
                <w:szCs w:val="16"/>
                <w:color w:val="auto"/>
              </w:rPr>
              <w:t>Total accrued expenses</w:t>
            </w:r>
          </w:p>
        </w:tc>
        <w:tc>
          <w:tcPr>
            <w:tcW w:w="45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31,247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30,696</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4560" w:type="dxa"/>
            <w:vAlign w:val="bottom"/>
            <w:vMerge w:val="restart"/>
          </w:tcPr>
          <w:p>
            <w:pPr>
              <w:jc w:val="right"/>
              <w:ind w:right="2234"/>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5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4" w:name="page15"/>
    <w:bookmarkEnd w:id="14"/>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leases facilities under agreements accounted for as operating leases. Rental expense for operating leases was $1.4 million and</w:t>
      </w:r>
    </w:p>
    <w:p>
      <w:pPr>
        <w:spacing w:after="0" w:line="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$1.2 million for the three months ended June 30, 2016 and 2015, respectively, and $3.0 million and $2.3 million for the six months ended June 30, 2016 and 2015,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taxes and operating expense increases.</w:t>
      </w:r>
    </w:p>
    <w:p>
      <w:pPr>
        <w:spacing w:after="0" w:line="8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2016, the Company’s lease for its office facility in New York City was amended to, among other things, provide for the lease of approximately 25,000 square feet of additional office space and extend the term of the lease. In connection with the underlying lease agreement, the Company entered into a letter of credit as a security deposit for the leased facilities, which was increased to $2.6 million in connection with the January 2016 amendment. The letter of credit was collateralized by $2.6 million of cash as of June 30, 2016, which is recorded as restricted cash and is included in other assets in the consolidated balance sheet. As amended, the lease is scheduled to expire in 2029 and aggregate future minimum payments under the amended lease are approximately $84.7 million.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of June 30, 2016, the Company had outstanding commitments to purchase approximately $0.5 million of data servers and other equipment related to the expansion of its existing business and infrastructure.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June 30, 2016, the Company had other obligations in the amount of approximately $29.0 million, which consisted primarily of minimum royalty guarantees and unconditional purchase obligations related to contracts for infrastructure and other business services. As of June 30, 2016, the Company’s other obligations for the remainder of 2016 and for the years ending December 31, 2017, 2018, 2019 and 2020 were approximately $4.8 million, $9.0 million, $7.4 million, $4.0 million and $3.8 million,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w:t>
      </w:r>
      <w:r>
        <w:rPr>
          <w:rFonts w:ascii="Arial" w:cs="Arial" w:eastAsia="Arial" w:hAnsi="Arial"/>
          <w:sz w:val="16"/>
          <w:szCs w:val="16"/>
          <w:b w:val="1"/>
          <w:bCs w:val="1"/>
          <w:i w:val="1"/>
          <w:i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the ordinary course of business, the Company enters into contractual agreements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an image is used. The Company’s license agreements generally cap indemnification obligations at amounts ranging from $10,000 to $250,000, with certain exceptions for which the Company’s indemnification obligations are uncapped. As of June 30, 2016, the Company had recorded no material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and Indemnification Agreements</w:t>
      </w:r>
    </w:p>
    <w:p>
      <w:pPr>
        <w:spacing w:after="0" w:line="252"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Company has entered into employment arrangements and indemnification agreements with its executive officers, directors and certain employees. These agreements specify various employment-related matters, including annual compensation, performance incentive bonuses, and severance benefits in the event of termination with or without cause.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 and Equity-Based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6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During the six months ended June 30, 2016, the Company issued approximately 502,000 shares of common stock, related primarily to the exercise of stock options and the vesting of restricted stock units (“RSUs”).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63"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In October 2015, the Company’s Board of Directors approved a share repurchase program, pursuant to which the Company is authorized to purchase up to $100 million of its common stock. The Company expects to fund repurchases through a combination of cash on hand, cash generated by operations and future financing transactions, if needed. Accordingly, the Company’s share repurchase program is subject to the Company having available cash to fund repurchases. Under the program, the Company is authorized to purchase shares from time to time through open market purchases or privately negotiated transactions at prevailing prices as permitted by securities laws and other legal requirements, and subject to market conditions and other factors.</w:t>
      </w:r>
    </w:p>
    <w:p>
      <w:pPr>
        <w:spacing w:after="0" w:line="185"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During the six months ended June 30, 2016, the Company repurchased approximately 1,280,000 shares of its common stock under the share repurchase program at an average per-share cost of approximately $34.44, of which $0.4 million has not been paid as of June 30, 2016 and is included in accrued expenses. As of June 30, 2016, the Company had $40.3 million remaining for purchases under the share repurchase program.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recognizes stock-based compensation expense for all share-based payment awards including employee stock options and RSUs granted under the 2012 Omnibus Equity Incentive Plan and sales of shares of common stock under the 2012 Employee Stock Purchase Plan (the “2012 ESPP”) based on each award’s fair value on the grant date.</w:t>
      </w:r>
    </w:p>
    <w:p>
      <w:pPr>
        <w:spacing w:after="0" w:line="73"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The following table summarizes non-cash equity-based compensation expense, net of forfeitures, by financial statement line item included in the accompanying consolidated statements of operations for the three and six months ended June 30, 2016 and 2015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1,357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1,428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2,746</w:t>
            </w: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1,751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4,120</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3,371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3,935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6,851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7,274</w:t>
            </w: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7,252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14,605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15,088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following table summarizes non-cash equity-based compensation expense, net of forfeitures, by award type included in the accompanying consolidated statements of operations for the three and six months ended June 30, 2016 and 2015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1,892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1,777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RSUs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5,207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5,484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10,609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10,520</w:t>
            </w: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 shares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RSUs related to the acquisition of WebDAM</w:t>
            </w:r>
          </w:p>
        </w:tc>
        <w:tc>
          <w:tcPr>
            <w:tcW w:w="86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325</w:t>
            </w: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7,252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14,605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15,088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08" w:gutter="0" w:footer="0" w:header="0"/>
        </w:sectPr>
      </w:pPr>
    </w:p>
    <w:p>
      <w:pPr>
        <w:spacing w:after="0" w:line="137"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108" w:gutter="0" w:footer="0" w:header="0"/>
          <w:type w:val="continuous"/>
        </w:sectPr>
      </w:pPr>
    </w:p>
    <w:bookmarkStart w:id="16" w:name="page17"/>
    <w:bookmarkEnd w:id="16"/>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6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During the six months ended June 30, 2016, the Company granted options to purchase approximately 438,000 shares of its common stock with a weighted average exercise price of $35.51. As of June 30, 2016, there were approximately 403,000 options vested and exercisable with a weighted average exercise price of $30.64. As of June 30, 2016, the total unrecognized compensation charge related to non-vested options was approximately $25.5 million, which is expected to be recognized through the fiscal year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6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the six months ended June 30, 2016, the Company granted approximately 686,000 RSUs. As of June 30, 2016 there are approximately 1,304,000 non-vested RSUs outstanding. As of June 30, 2016, the total unrecognized non-cash equity-based compensation charge related to the non-vested RSUs was approximately $48.8 million, which is expected to be recognized through fiscal year 2021.</w:t>
      </w:r>
    </w:p>
    <w:p>
      <w:pPr>
        <w:spacing w:after="0" w:line="73"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Included in the total number of RSUs granted during the six months ended June 30, 2016 was approximately 31,000 RSUs granted and issued in satisfaction of the Company’s liability to certain WebDAM executives to provide a fixed-dollar amount of RSUs in connection with the acquisition. As of June 30, 2016, the Company had no additional stock-based compensation awards which require liability accounting.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 Shares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six months ended June 30, 2016, approximately 26,000 shares of the Company’s common stock were issued under the 2012 ESPP.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 has a 401(k) defined contribution plan and provides for annual discretionary employer matching contributions not to exceed 3% of employees’ base compensation per year. Matching contributions are fully vested and non-forfeitable at all times. The Company recorded employer matching contributions of $0.5 million and $0.4 million for the three months ended June 30, 2016 and 2015, respectively, and $1.0 million and $0.7 million for the six months ended June 30, 2016 and 2015,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Expense, Net</w:t>
      </w:r>
    </w:p>
    <w:p>
      <w:pPr>
        <w:spacing w:after="0" w:line="121"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The following table presents a summary of the Company’s other income and expense activity included in the accompanying consolidated statements of operations for the three and six months ended June 30, 2016 and 2015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gain (loss)</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(1,761)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Change in fair value of contingent consideration</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Total expense</w:t>
            </w:r>
          </w:p>
        </w:tc>
        <w:tc>
          <w:tcPr>
            <w:tcW w:w="980" w:type="dxa"/>
            <w:vAlign w:val="bottom"/>
            <w:tcBorders>
              <w:top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(2,619)</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ind w:right="140" w:firstLine="405"/>
        <w:spacing w:after="0" w:line="288" w:lineRule="auto"/>
        <w:rPr>
          <w:sz w:val="20"/>
          <w:szCs w:val="20"/>
          <w:color w:val="auto"/>
        </w:rPr>
      </w:pPr>
      <w:r>
        <w:rPr>
          <w:rFonts w:ascii="Arial" w:cs="Arial" w:eastAsia="Arial" w:hAnsi="Arial"/>
          <w:sz w:val="16"/>
          <w:szCs w:val="16"/>
          <w:color w:val="auto"/>
        </w:rPr>
        <w:t>The Company’s effective tax rates were 29.4% and 44.5% for the three months ended June 30, 2016 and 2015, respectively, and 36.5% and 43.9% for the six months ended June 30, 2016 and 2015, respectively. The Company incurred discrete tax items, the net effect of which decreased the effective tax rate by 9.1% and increased the effective tax rate by 1.0% for the three months ended June 30, 2016 and 2015, respectively, and decreased the effective rate by</w:t>
      </w:r>
    </w:p>
    <w:p>
      <w:pPr>
        <w:ind w:right="180"/>
        <w:spacing w:after="0" w:line="277" w:lineRule="auto"/>
        <w:rPr>
          <w:sz w:val="20"/>
          <w:szCs w:val="20"/>
          <w:color w:val="auto"/>
        </w:rPr>
      </w:pPr>
      <w:r>
        <w:rPr>
          <w:rFonts w:ascii="Arial" w:cs="Arial" w:eastAsia="Arial" w:hAnsi="Arial"/>
          <w:sz w:val="17"/>
          <w:szCs w:val="17"/>
          <w:color w:val="auto"/>
        </w:rPr>
        <w:t>3.3% and increased the effective rate by 1.7% for the six months ended June 30, 2016 and 2015, respectively. The Company has computed the provision for income taxes based on the estimated annual effective tax rate and the application of discrete items, if any, in the applicable period. The effective tax rate differs from the statutory tax rate due primarily to non-deductible expenses related to non-cash equity-based compensation.</w:t>
      </w:r>
    </w:p>
    <w:p>
      <w:pPr>
        <w:spacing w:after="0" w:line="6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three and six months ended June 30, 2016 and 2015, unrecognized tax benefits recorded by the Company for uncertain tax positions taken in prior years were not material. During the three and six months ended June 30, 2016, the Company recognized a tax benefit of approximately $1.2 million related to the release of reserve for uncertain tax positions due to a lapse in the statute of limitations. To the extent the remaining unrecognized tax benefits are ultimately recognized, the Company’s effective tax rate may be impacted in future periods.</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and six months ended June 30, 2016 and 2015.</w:t>
      </w:r>
    </w:p>
    <w:p>
      <w:pPr>
        <w:spacing w:after="0" w:line="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June 30, 2016, the Company had approximately $8.7 million of undistributed earnings attributable to its foreign subsidiaries. It is the Company’s practice and intention to indefinitely reinvest the earnings of its foreign subsidiaries in those operations. The Company has not provided deferred U.S. income taxes or foreign withholding taxes on temporary differences resulting from the earnings indefinitely reinvested outside the United States. It is currently not practicable for the Company to calculate the associated unrecognized deferred tax liability.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21"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Basic net income per share is computed by dividing the net income attributable to common stockholders by the weighted average number of common shares outstanding during the period. Any potential issuance of common shares, including those that are contingent and do not participate in dividends, is excluded from weighted average number of common shares outstanding. Income available to common stockholders is computed by deducting income allocated to participating securities, if any, including unvested shares for the restricted award holder since these unvested shares have participating rights.</w:t>
      </w:r>
    </w:p>
    <w:p>
      <w:pPr>
        <w:spacing w:after="0" w:line="18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Diluted net income per share is computed by dividing the net income attributable to common stockholders by the weighted average common shares outstanding and all potential common shares, if they are dilutive.</w:t>
      </w:r>
    </w:p>
    <w:p>
      <w:pPr>
        <w:spacing w:after="0" w:line="89" w:lineRule="exact"/>
        <w:rPr>
          <w:sz w:val="20"/>
          <w:szCs w:val="20"/>
          <w:color w:val="auto"/>
        </w:rPr>
      </w:pPr>
    </w:p>
    <w:p>
      <w:pPr>
        <w:jc w:val="both"/>
        <w:ind w:right="220" w:firstLine="405"/>
        <w:spacing w:after="0" w:line="277" w:lineRule="auto"/>
        <w:rPr>
          <w:sz w:val="20"/>
          <w:szCs w:val="20"/>
          <w:color w:val="auto"/>
        </w:rPr>
      </w:pPr>
      <w:r>
        <w:rPr>
          <w:rFonts w:ascii="Arial" w:cs="Arial" w:eastAsia="Arial" w:hAnsi="Arial"/>
          <w:sz w:val="18"/>
          <w:szCs w:val="18"/>
          <w:color w:val="auto"/>
        </w:rPr>
        <w:t>A reconciliation of assumed exercised shares used in calculating basic and diluted net income per share available to common stockholders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r>
      <w:tr>
        <w:trPr>
          <w:trHeight w:val="236"/>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34,957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35,864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35,166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35,750</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Stock options and ESPP shares</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391</w:t>
            </w: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RSUs and restricted stock awards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w:t>
            </w:r>
          </w:p>
        </w:tc>
        <w:tc>
          <w:tcPr>
            <w:tcW w:w="9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35,642</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36,340</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35,870</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36,267</w:t>
            </w:r>
          </w:p>
        </w:tc>
      </w:tr>
      <w:tr>
        <w:trPr>
          <w:trHeight w:val="257"/>
        </w:trPr>
        <w:tc>
          <w:tcPr>
            <w:tcW w:w="5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Dilutive securities included in the calculation</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1,967</w:t>
            </w: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Anti-dilutive securities excluded from the calculation</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1,259</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688</w:t>
            </w:r>
          </w:p>
        </w:tc>
      </w:tr>
      <w:tr>
        <w:trPr>
          <w:trHeight w:val="33"/>
        </w:trPr>
        <w:tc>
          <w:tcPr>
            <w:tcW w:w="5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revenue based on customer location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w w:val="83"/>
              </w:rPr>
              <w:t>2015</w:t>
            </w: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49,565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41,189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96,707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78,695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Europe</w:t>
            </w:r>
          </w:p>
        </w:tc>
        <w:tc>
          <w:tcPr>
            <w:tcW w:w="3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41,094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34,944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80,280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69,046</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 of the world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33,760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28,232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64,084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54,146</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124,419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104,365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241,071</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201,887</w:t>
            </w: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The United States, included in North America in the above table, accounted for 34% of consolidated revenue for both of the three months ended June 30, 2016 and 2015, and 35% and 34% for the six months ended June 30, 2016 and 2015, respectively. The United Kingdom, included in Europe in the above table, accounted for 10% of total revenue for both of the three and six months ended June 30, 2016 and 11% of consolidated revenue for both of the three and six months ended June 30, 2015. No other country accounts for more than 10% of the Company’s revenue in any period presented.</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long-lived tangible assets were located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3940" w:type="dxa"/>
            <w:vAlign w:val="bottom"/>
            <w:tcBorders>
              <w:bottom w:val="single" w:sz="8" w:color="CCEEFF"/>
            </w:tcBorders>
          </w:tcPr>
          <w:p>
            <w:pPr>
              <w:spacing w:after="0"/>
              <w:rPr>
                <w:sz w:val="24"/>
                <w:szCs w:val="24"/>
                <w:color w:val="auto"/>
              </w:rPr>
            </w:pPr>
          </w:p>
        </w:tc>
        <w:tc>
          <w:tcPr>
            <w:tcW w:w="43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4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40,373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31,699</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Europe</w:t>
            </w: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33"/>
        </w:trPr>
        <w:tc>
          <w:tcPr>
            <w:tcW w:w="39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long-lived tangible assets</w:t>
            </w:r>
          </w:p>
        </w:tc>
        <w:tc>
          <w:tcPr>
            <w:tcW w:w="4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32,094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jc w:val="right"/>
              <w:ind w:right="2236"/>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9" w:name="page20"/>
    <w:bookmarkEnd w:id="19"/>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interim consolidated unaudited financial statements and related notes contained elsewhere in this Quarterly Report on Form 10-Q and with information contained in our other filings, including the audited consolidated financial statements included in our Annual Report on Form 10-K for the fiscal year ended December 31, 2015 filed with the SEC on February 24, 2016.</w:t>
      </w:r>
    </w:p>
    <w:p>
      <w:pPr>
        <w:spacing w:after="0" w:line="21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i w:val="1"/>
          <w:iCs w:val="1"/>
          <w:color w:val="auto"/>
        </w:rPr>
        <w:t>In addition to historical consolidated financial information, this discussion may contain forward-looking statements that reflect our plans, estimates and beliefs. These statements involve risks and uncertainties and our actual results could differ materially from those discussed below. See the “Special Note on Forward Looking Statements” disclosure included above for a discussion of the uncertainties, risks and assumptions associated with these statements. See also the “Risk Factors” disclosure of our Annual Report on Form 10-K for the fiscal year ended December 31, 2015 for additional discussion of such risks.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256"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are a leading global provider of high quality creative content including: (a) digital imagery, which consists of licensed photographs, illustrations, vectors and video clips that customers use in their visual communications, such as websites, digital and print marketing materials, corporate communications, books, publications and video content; and (b) commercial music, which consists of high-quality music tracks and sound effects and which is often used to complement the digital imagery. We also offer digital asset management services through WebDAM, our cloud-based digital asset management platform. This service provides tools for customers to better manage content and brand management assets.</w:t>
      </w:r>
    </w:p>
    <w:p>
      <w:pPr>
        <w:spacing w:after="0" w:line="22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Our global marketplace brings together users of creative content with content producers from around the world by providing a freely searchable collection of content that our customers can pay to license, download and incorporate into their work. More than 1.5 million active, paying customers contributed to our revenue for the twelve month period ended June 30, 2016. As of June 30, 2016, more than 130,000 approved contributors made their creative content available in our collection, which has grown to more than 90 million images and more than 4 million video clips. This makes our collection of creative content one of the largest of its kind, and we delivered more than 80 million paid downloads to our customers from that collection during the six months ended June 30, 2016. We believe that we delivered the highest volume of commercial image downloads in this period of any single brand in our industry.</w:t>
      </w:r>
    </w:p>
    <w:p>
      <w:pPr>
        <w:spacing w:after="0" w:line="10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 May 2016, we announced the release of a plugin for Microsoft Powerpoint which will provide business professionals around the world with instant access to our vast collection of high-quality images. Additionally, we released enhanced search and discovery features on our iOS mobile application, becoming the first stock photo provider to provide reverse image search capabilities on mobile devices.</w:t>
      </w:r>
    </w:p>
    <w:p>
      <w:pPr>
        <w:spacing w:after="0" w:line="7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In July 2016, we announced an API integration partnership with Google, which provides users of Google’s digital and mobile display advertising products, including Adsense, Adwords, and Admob, access to Shutterstock’s image collection for license.</w:t>
      </w:r>
    </w:p>
    <w:p>
      <w:pPr>
        <w:spacing w:after="0" w:line="62"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As a global marketplace, we generate revenue by licensing creative content to our customers and paying royalties to our contributors each time their content is delivered to a customer for use. Currently, the majority of our revenue and downloads come from our e-commerce platforms, which allow customers the flexibility of high-volume content subscriptions or a variety of other purchase options. In addition to sales through our e-commerce platform, we offer a number of other purchase options, primarily to enterprise customers, that can be customized to meet their specific needs. As we continue to grow the business, we anticipate these other purchase options will grow as a share of our overall business.</w:t>
      </w:r>
    </w:p>
    <w:p>
      <w:pPr>
        <w:spacing w:after="0" w:line="200"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Each time content is delivered to a customer for use, we record a royalty expense for the amount due to the associated contributor. Royalties are calculated using either a fixed dollar amount or a fixed percentage of revenue as described on our websites, and are typically paid to contributors on a monthly basis, subject to withholding taxes and certain payout minimums. Royalties represent the largest component of our operating expenses and tend to increase proportionally with revenue.</w:t>
      </w:r>
    </w:p>
    <w:p>
      <w:pPr>
        <w:spacing w:after="0" w:line="24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cost of revenue is substantially similar as a percentage of revenue across our various purchase options. While contributors earn a fixed amount per download for some of our plans, we have set the per-download amount paid to our contributors for each of our purchase options so that contributors earn more per download from plans where we collect higher revenue per download. Under this cost structure, changes in revenue activity are the primary drivers of changes in our cost of revenue, and we expect that shifts in the relative popularity of our purchase options will not materially impact our proportional cost of revenue.</w:t>
      </w:r>
    </w:p>
    <w:p>
      <w:pPr>
        <w:spacing w:after="0" w:line="24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a provider of digital asset management technology, we generate revenue by licensing the use of our WebDAM platform to customers on a contractual basis, which typically has a term of one year.</w:t>
      </w:r>
    </w:p>
    <w:p>
      <w:pPr>
        <w:spacing w:after="0" w:line="33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80" w:firstLine="405"/>
        <w:spacing w:after="0" w:line="302" w:lineRule="auto"/>
        <w:rPr>
          <w:sz w:val="20"/>
          <w:szCs w:val="20"/>
          <w:color w:val="auto"/>
        </w:rPr>
      </w:pPr>
      <w:r>
        <w:rPr>
          <w:rFonts w:ascii="Arial" w:cs="Arial" w:eastAsia="Arial" w:hAnsi="Arial"/>
          <w:sz w:val="16"/>
          <w:szCs w:val="16"/>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We manage customer acquisition costs based on the expected blended customer lifetime value across our purchase options so that we are able to manage our marketing expenses to achieve certain desired growth targets. As a result, we do not believe that shifts in the mix between our purchase options will materially impact our operating margins.</w:t>
      </w:r>
    </w:p>
    <w:p>
      <w:pPr>
        <w:spacing w:after="0" w:line="4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Over the past several years, we have invested amounts in marketing that represent a significant percentage of revenue. Since we believe the market for creative content will continue to grow globally, we plan to continue to invest aggressively in customer acquisition through our various global channels to achieve revenue and market share growth. We believe that another important driver of growth is the quality of the user experience we provide on our websites, especially the efficiency with which our search interfaces and algorithms help customers find the content that they need, the degree to which we make use of the large quantity of data we collect about content and search patterns, and the degree to which we have been able to localize the overall experience for international audiences. In pursuit of our growth objectives, we have also invested aggressively in product development and we plan to broaden our investments in this area. Finally, the quality and quantity of content that we make available in our collection is another key driver of our growth. Approved and licensable high-quality content in the Shutterstock collection exceeded 90 million images and 4 million video clips as of June 30, 2016, making it one of the largest libraries of its kind.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jc w:val="both"/>
        <w:ind w:right="560" w:firstLine="405"/>
        <w:spacing w:after="0" w:line="312" w:lineRule="auto"/>
        <w:rPr>
          <w:sz w:val="20"/>
          <w:szCs w:val="20"/>
          <w:color w:val="auto"/>
        </w:rPr>
      </w:pPr>
      <w:r>
        <w:rPr>
          <w:rFonts w:ascii="Arial" w:cs="Arial" w:eastAsia="Arial" w:hAnsi="Arial"/>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and six months ended June 30, 2016 and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196"/>
        </w:trPr>
        <w:tc>
          <w:tcPr>
            <w:tcW w:w="5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60" w:type="dxa"/>
            <w:vAlign w:val="bottom"/>
            <w:gridSpan w:val="5"/>
          </w:tcPr>
          <w:p>
            <w:pPr>
              <w:jc w:val="right"/>
              <w:ind w:right="63"/>
              <w:spacing w:after="0"/>
              <w:rPr>
                <w:sz w:val="20"/>
                <w:szCs w:val="20"/>
                <w:color w:val="auto"/>
              </w:rPr>
            </w:pPr>
            <w:r>
              <w:rPr>
                <w:rFonts w:ascii="Arial" w:cs="Arial" w:eastAsia="Arial" w:hAnsi="Arial"/>
                <w:sz w:val="14"/>
                <w:szCs w:val="14"/>
                <w:b w:val="1"/>
                <w:bCs w:val="1"/>
                <w:color w:val="auto"/>
                <w:w w:val="98"/>
              </w:rPr>
              <w:t>(in millions, except revenue per download)</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 downloads (during the period)</w:t>
            </w:r>
          </w:p>
        </w:tc>
        <w:tc>
          <w:tcPr>
            <w:tcW w:w="9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w:t>
            </w: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84.6</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Revenue per download (during the period)</w:t>
            </w:r>
          </w:p>
        </w:tc>
        <w:tc>
          <w:tcPr>
            <w:tcW w:w="900" w:type="dxa"/>
            <w:vAlign w:val="bottom"/>
          </w:tcPr>
          <w:p>
            <w:pPr>
              <w:jc w:val="right"/>
              <w:ind w:right="725"/>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2.81</w:t>
            </w:r>
          </w:p>
        </w:tc>
        <w:tc>
          <w:tcPr>
            <w:tcW w:w="104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2.79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2.86</w:t>
            </w: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Images in collection (end of period)</w:t>
            </w: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92.1</w:t>
            </w: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92.1</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57.2</w:t>
            </w:r>
          </w:p>
        </w:tc>
      </w:tr>
      <w:tr>
        <w:trPr>
          <w:trHeight w:val="33"/>
        </w:trPr>
        <w:tc>
          <w:tcPr>
            <w:tcW w:w="5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252"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Measuring the number of paid downloads that our customers make in any given period is important because our revenue and contributor royalties are driven primarily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we deliver to subscription customers and the likelihood that the customer will renew. We define paid downloads as the number of downloads of our creative content by customers in a given period, excluding re-downloads of content that a customer has downloaded in the past (which do not generate incremental revenue or contributor royalty expense) and downloads of promotional images (which we make available at no cost as a means of acquiring new customers and attracting existing customers to return to our websites more frequently).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252"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define revenue per download as the amount of revenue recognized in a given period divided by the number of paid downloads in that period excluding the impact of revenue that is not derived from or associated with the download of creative content. This metric captures changes in our pricing, if any, as well as the mix of purchase options that our customers choose and the impact of changes in foreign currency rates on our pricing. Over the last three years, revenue from each of our purchase options has grown; however our fastest growing purchase options have been those that generate more revenue per download, most notably our On Demand purchase options. As our business grows and expands into other products and regions around the world, this metric may become less important as a tool for evaluating the business.</w:t>
      </w:r>
    </w:p>
    <w:p>
      <w:pPr>
        <w:spacing w:after="0" w:line="34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Images in Collection</w:t>
      </w:r>
    </w:p>
    <w:p>
      <w:pPr>
        <w:spacing w:after="0" w:line="25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define images in our collection as the total number of photographs, vectors and illustrations available to customers for commercial license on shutterstock.com at any point in time. We exclude content from this collection metric that is not uploaded directly to our site but is available to our customers through an application program interface and certain content that may be licensed for editorial use only.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or U.S. GAAP. The preparation of the consolidated financial statements in conformity with U.S.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medical self-insurance accruals, chargeback and sales refund reserve, the fair value of goodwill, intangibles and other long-lived assets, non-cash equity-based compensation expense, the fair value of contingent consideration, the provision for income taxes and the amount of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22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believe that the policies, assumptions and estimates associated with our revenue recognition, allowance for doubtful accounts, chargeback and sales refund reserve, stock-based compensation, self-insurance accruals, accounting for non-income and income taxes, goodwill and intangible assets and advertising costs have the greatest potential impact on our financial statements. Therefore, we consider these to be our critical accounting policies and estimates.</w:t>
      </w:r>
    </w:p>
    <w:p>
      <w:pPr>
        <w:spacing w:after="0" w:line="106"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 description of our critical accounting policies that involve significant management judgments appears in our Annual Report on Form 10-K for the fiscal year ended December 31, 2015 that we filed with the SEC on February 24, 2016, or the 2015 Form 10-K, under “Management’s Discussion and Analysis of Financial Condition and Results of Operations—Critical Accounting Policies and Estimates.” There have been no material changes to our critical accounting policies and estimates as compared to our critical accounting policies and estimates included in the 2015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majority of our revenue, net of chargebacks and refunds, is generated through the licensing of creative content. The majority of our licensing revenue is generated by sales through our e-commerce platform.</w:t>
      </w:r>
    </w:p>
    <w:p>
      <w:pPr>
        <w:spacing w:after="0" w:line="22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generate revenue through our e-commerce platform from the sale of subscriptions which provide customers the flexibility of high-volume content subscriptions or from a variety of other purchase options. Our subscriptions typically vary in length from one month to one year. In addition to sales through our e-commerce platform, we offer a number of other purchase options, primarily to enterprise customers, that can be customized to meet our customers’ specific needs.</w:t>
      </w:r>
    </w:p>
    <w:p>
      <w:pPr>
        <w:spacing w:after="0" w:line="24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typically receive the full amount of purchases at the time of sale; however, revenue is recognized ratably over the course of a subscription or as content is downloaded. Some of our larger custom and enterprise accounts are invoiced and pay us on credit terms. For certain of these accounts, we receive payment in installments over the course of an annual commitment.</w:t>
      </w:r>
    </w:p>
    <w:p>
      <w:pPr>
        <w:spacing w:after="0" w:line="235"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We also generate revenue through WebDAM, which we acquired in March 2014. WebDAM licenses digital asset management software services to marketing and creative teams and enterprise organizations through its cloud-based software platform. Software licensing fees are recognized ratably as revenue over the course of the contractual term, which is typically one year. Any setup or implementation fees are recognized ratably over the longer of the contractual term or the estimated customer relationship period, which is currently three years. Fees for on-boarding and other professional services, which typically take place over a period of time less than one year and provide immediate benefit to customers upon completion, are recorded as revenue when services are substantially complete and all other revenue recognition criteria have been met.</w:t>
      </w:r>
    </w:p>
    <w:p>
      <w:pPr>
        <w:spacing w:after="0" w:line="232"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deferred revenue consists of amounts paid by customers for which revenue recognition criteria have not been met. For content revenue, deferred revenue is recognized as revenue through the passage of time, when content is downloaded or when the credits or the right to download content expires, and all other revenue recognition criteria have been met. For WebDAM, deferred revenue is recognized as revenue through passage of time (subscriptions) or when a project is substantially complete (professional services) and all other revenue recognition criteria have been met.</w:t>
      </w:r>
    </w:p>
    <w:p>
      <w:pPr>
        <w:sectPr>
          <w:pgSz w:w="11900" w:h="16838" w:orient="portrait"/>
          <w:cols w:equalWidth="0" w:num="1">
            <w:col w:w="11400"/>
          </w:cols>
          <w:pgMar w:left="240" w:top="125" w:right="259" w:bottom="1440" w:gutter="0" w:footer="0" w:header="0"/>
        </w:sectPr>
      </w:pPr>
    </w:p>
    <w:p>
      <w:pPr>
        <w:spacing w:after="0" w:line="33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5" w:right="259" w:bottom="1440" w:gutter="0" w:footer="0" w:header="0"/>
          <w:type w:val="continuous"/>
        </w:sectPr>
      </w:pPr>
    </w:p>
    <w:bookmarkStart w:id="22" w:name="page23"/>
    <w:bookmarkEnd w:id="22"/>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5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content review costs, customer service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infrastructure and hosting costs related to maintaining our e-commerce platform and cloud-based software platform and associated employee compensation, including non-cash equity-based compensation, bonuses and benefits, amortization of content and technology intangible assets, allocated facility costs and other supporting overhead costs. We expect that our cost of revenue will increase in absolute dollars in the foreseeable future as our revenue grows.</w:t>
      </w:r>
    </w:p>
    <w:p>
      <w:pPr>
        <w:spacing w:after="0" w:line="24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expenses also include associated employee compensation, including non-cash equity-based compensation, bonuses and benefits, and commissions as well as allocated facility and other supporting overhead costs. We expect sales and marketing expenses to increase in absolute dollars in the foreseeable future as we continue to invest in new customer acquisition.</w:t>
      </w:r>
    </w:p>
    <w:p>
      <w:pPr>
        <w:spacing w:after="0" w:line="24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consist of employee compensation, including non-cash equity-based compensation, bonuses and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expenses related to contractors engaged in product management, design, development and testing of our websites and products. Product development costs also include allocated facility and other supporting overhead costs. We expense product development expenses as incurred, except for costs that are capitalized for internal-use software development projects and subsequently depreciated over the expected useful life of the developed software. During 2015, we experienced an increase in capitalized costs for internal-use software development related primarily to our efforts to launch new and innovative products. We expect product development expenses, of which a portion will be capitalized, to increase in absolute dollars in the foreseeable future as we continue to invest in developing new products and internal tools and enhancing the functionality of our existing products and technology.</w:t>
      </w:r>
    </w:p>
    <w:p>
      <w:pPr>
        <w:spacing w:after="0" w:line="221"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include employee compensation, including non-cash equity-based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bonuses and benefits for executive, finance, business development, accounting, legal, human resources, internal information technology, business intelligence and other administrative personnel. In addition, general and administrative expenses include outside legal, tax and accounting services, bad debt expense, insurance, facilities costs and other supporting overhead costs. We expect to incur incremental general and administrative expenses to support our global operational growth and enhancements to support our reporting and planning functions.</w:t>
      </w:r>
    </w:p>
    <w:p>
      <w:pPr>
        <w:spacing w:after="0" w:line="22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consists of non-operating costs such as foreign currency transaction gains and losses, changes in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consideration related to acquisitions and interest income and expense. We expect to incur incremental expense related to changes in fair value of contingent consideration related to our PremiumBeat acquisition as we reach the measurement date. Additionally, as we increase the volume of business transacted in foreign currencies as a result of international expansion and as currency rates fluctuate, we expect foreign currency gains and losses to continue to fluctuate.</w:t>
      </w:r>
    </w:p>
    <w:p>
      <w:pPr>
        <w:spacing w:after="0" w:line="24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compute income taxes using the asset and liability method, under which deferred tax assets and liabilities are determined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4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5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124,419</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104,365</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241,071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201,887</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52,245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42,545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100,308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82,070</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52,534</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Product development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11,971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10,189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23,196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20,873</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14,536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28,508</w:t>
            </w:r>
          </w:p>
        </w:tc>
      </w:tr>
      <w:tr>
        <w:trPr>
          <w:trHeight w:val="217"/>
        </w:trPr>
        <w:tc>
          <w:tcPr>
            <w:tcW w:w="516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113,942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94,699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219,772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183,985</w:t>
            </w:r>
          </w:p>
        </w:tc>
      </w:tr>
      <w:tr>
        <w:trPr>
          <w:trHeight w:val="33"/>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10,477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9,666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17,902</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(2,619)</w:t>
            </w:r>
          </w:p>
        </w:tc>
      </w:tr>
      <w:tr>
        <w:trPr>
          <w:trHeight w:val="33"/>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9,609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15,283</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4,272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7,693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6,703</w:t>
            </w:r>
          </w:p>
        </w:tc>
      </w:tr>
      <w:tr>
        <w:trPr>
          <w:trHeight w:val="33"/>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980" w:type="dxa"/>
            <w:vAlign w:val="bottom"/>
            <w:gridSpan w:val="2"/>
          </w:tcPr>
          <w:p>
            <w:pPr>
              <w:ind w:left="5620"/>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520" w:type="dxa"/>
            <w:vAlign w:val="bottom"/>
          </w:tcPr>
          <w:p>
            <w:pPr>
              <w:jc w:val="right"/>
              <w:ind w:right="540"/>
              <w:spacing w:after="0"/>
              <w:rPr>
                <w:sz w:val="20"/>
                <w:szCs w:val="20"/>
                <w:color w:val="auto"/>
              </w:rPr>
            </w:pPr>
            <w:r>
              <w:rPr>
                <w:rFonts w:ascii="Arial" w:cs="Arial" w:eastAsia="Arial" w:hAnsi="Arial"/>
                <w:sz w:val="14"/>
                <w:szCs w:val="14"/>
                <w:b w:val="1"/>
                <w:bCs w:val="1"/>
                <w:color w:val="auto"/>
              </w:rPr>
              <w:t>2015</w:t>
            </w:r>
          </w:p>
        </w:tc>
      </w:tr>
      <w:tr>
        <w:trPr>
          <w:trHeight w:val="236"/>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w:t>
            </w: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6"/>
                <w:szCs w:val="16"/>
                <w:color w:val="auto"/>
              </w:rPr>
              <w:t>Revenue</w:t>
            </w:r>
          </w:p>
        </w:tc>
        <w:tc>
          <w:tcPr>
            <w:tcW w:w="5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33"/>
        </w:trPr>
        <w:tc>
          <w:tcPr>
            <w:tcW w:w="5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980" w:type="dxa"/>
            <w:vAlign w:val="bottom"/>
            <w:gridSpan w:val="2"/>
          </w:tcPr>
          <w:p>
            <w:pPr>
              <w:ind w:left="380"/>
              <w:spacing w:after="0"/>
              <w:rPr>
                <w:sz w:val="20"/>
                <w:szCs w:val="20"/>
                <w:color w:val="auto"/>
              </w:rPr>
            </w:pPr>
            <w:r>
              <w:rPr>
                <w:rFonts w:ascii="Arial" w:cs="Arial" w:eastAsia="Arial" w:hAnsi="Arial"/>
                <w:sz w:val="16"/>
                <w:szCs w:val="16"/>
                <w:color w:val="auto"/>
              </w:rPr>
              <w:t>Cost of revenue</w:t>
            </w: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41</w:t>
            </w:r>
          </w:p>
        </w:tc>
      </w:tr>
      <w:tr>
        <w:trPr>
          <w:trHeight w:val="33"/>
        </w:trPr>
        <w:tc>
          <w:tcPr>
            <w:tcW w:w="5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Sales and marketing</w:t>
            </w:r>
          </w:p>
        </w:tc>
        <w:tc>
          <w:tcPr>
            <w:tcW w:w="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r>
      <w:tr>
        <w:trPr>
          <w:trHeight w:val="237"/>
        </w:trPr>
        <w:tc>
          <w:tcPr>
            <w:tcW w:w="5980" w:type="dxa"/>
            <w:vAlign w:val="bottom"/>
            <w:gridSpan w:val="2"/>
          </w:tcPr>
          <w:p>
            <w:pPr>
              <w:ind w:left="380"/>
              <w:spacing w:after="0"/>
              <w:rPr>
                <w:sz w:val="20"/>
                <w:szCs w:val="20"/>
                <w:color w:val="auto"/>
              </w:rPr>
            </w:pPr>
            <w:r>
              <w:rPr>
                <w:rFonts w:ascii="Arial" w:cs="Arial" w:eastAsia="Arial" w:hAnsi="Arial"/>
                <w:sz w:val="16"/>
                <w:szCs w:val="16"/>
                <w:color w:val="auto"/>
              </w:rPr>
              <w:t>Product development</w:t>
            </w: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10</w:t>
            </w:r>
          </w:p>
        </w:tc>
      </w:tr>
      <w:tr>
        <w:trPr>
          <w:trHeight w:val="33"/>
        </w:trPr>
        <w:tc>
          <w:tcPr>
            <w:tcW w:w="5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r>
      <w:tr>
        <w:trPr>
          <w:trHeight w:val="217"/>
        </w:trPr>
        <w:tc>
          <w:tcPr>
            <w:tcW w:w="500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5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91</w:t>
            </w:r>
          </w:p>
        </w:tc>
      </w:tr>
      <w:tr>
        <w:trPr>
          <w:trHeight w:val="33"/>
        </w:trPr>
        <w:tc>
          <w:tcPr>
            <w:tcW w:w="5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6"/>
                <w:szCs w:val="16"/>
                <w:color w:val="auto"/>
              </w:rPr>
              <w:t>Other expense, net</w:t>
            </w:r>
          </w:p>
        </w:tc>
        <w:tc>
          <w:tcPr>
            <w:tcW w:w="1640" w:type="dxa"/>
            <w:vAlign w:val="bottom"/>
            <w:gridSpan w:val="3"/>
          </w:tcPr>
          <w:p>
            <w:pPr>
              <w:jc w:val="right"/>
              <w:ind w:right="13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60"/>
              <w:spacing w:after="0"/>
              <w:rPr>
                <w:sz w:val="20"/>
                <w:szCs w:val="20"/>
                <w:color w:val="auto"/>
              </w:rPr>
            </w:pPr>
            <w:r>
              <w:rPr>
                <w:rFonts w:ascii="Arial" w:cs="Arial" w:eastAsia="Arial" w:hAnsi="Arial"/>
                <w:sz w:val="16"/>
                <w:szCs w:val="16"/>
                <w:color w:val="auto"/>
              </w:rPr>
              <w:t>(1)</w:t>
            </w:r>
          </w:p>
        </w:tc>
      </w:tr>
      <w:tr>
        <w:trPr>
          <w:trHeight w:val="33"/>
        </w:trPr>
        <w:tc>
          <w:tcPr>
            <w:tcW w:w="5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6"/>
                <w:szCs w:val="16"/>
                <w:color w:val="auto"/>
              </w:rPr>
              <w:t>Provision for income taxes</w:t>
            </w: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3</w:t>
            </w:r>
          </w:p>
        </w:tc>
      </w:tr>
      <w:tr>
        <w:trPr>
          <w:trHeight w:val="33"/>
        </w:trPr>
        <w:tc>
          <w:tcPr>
            <w:tcW w:w="5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5"/>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2016 and 2015</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50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20" w:type="dxa"/>
            <w:vAlign w:val="bottom"/>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124,419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104,365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20,054</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52,245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42,545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9,700</w:t>
            </w:r>
          </w:p>
        </w:tc>
        <w:tc>
          <w:tcPr>
            <w:tcW w:w="1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Product development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11,971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10,189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1,782</w:t>
            </w:r>
          </w:p>
        </w:tc>
        <w:tc>
          <w:tcPr>
            <w:tcW w:w="1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3,619</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516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113,942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94,699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19,243</w:t>
            </w:r>
          </w:p>
        </w:tc>
        <w:tc>
          <w:tcPr>
            <w:tcW w:w="120" w:type="dxa"/>
            <w:vAlign w:val="bottom"/>
          </w:tcPr>
          <w:p>
            <w:pPr>
              <w:spacing w:after="0"/>
              <w:rPr>
                <w:sz w:val="18"/>
                <w:szCs w:val="18"/>
                <w:color w:val="auto"/>
              </w:rPr>
            </w:pPr>
          </w:p>
        </w:tc>
        <w:tc>
          <w:tcPr>
            <w:tcW w:w="15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811</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4,272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spacing w:after="0"/>
        <w:tabs>
          <w:tab w:leader="none" w:pos="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Revenue increased by $20.1 million, or 19%, to $124.4 million in the three months ended June 30, 2016 compared to the same period in 2015. We continue to undertake initiatives focused on broadening our subscription product offerings, which has resulted in increased customer utilization and provides customers an effective price per content download that is more economical at higher volumes. We believe these offerings will lead to sustained customer engagement over longer periods. As a result of these initiatives, the increase in revenue during the quarter was primarily attributable to the 21% increase in the number of paid downloads, the acquisition of new customers and increased activity by our enterprise customers, despite a 1.4% decrease in revenue per download. In the three months ended June 30, 2016 and 2015, we delivered 43.4 million and 35.9 million paid downloads, respectively, and our average revenue per download during these periods was $2.81 and $2.85, respectively.</w:t>
      </w:r>
    </w:p>
    <w:p>
      <w:pPr>
        <w:spacing w:after="0" w:line="70"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In the three months ended June 30, 2016 compared to the same period in 2015, as a percentage of total revenue, revenue from North America increased slightly to 40% from 39% while revenue from Europe and the rest of the world remained relatively flat at 33% and 27%,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increased by $9.7 million, or 23%, to $52.2 million in the three months ended June 30, 2016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2015. Royalties increased $6.2 million, or 20%, which was in line with the increase in the number of paid downloads during the period. We anticipate royalties will continue growing in absolute dollars as revenue grows, although royalties as a percentage of revenue may vary somewhat from period to period, primarily due to customer usage, product mix and to a lesser extent due to the contributors’ achievement of royalty target thresholds. Costs associated with website hosting, content consulting and allocated depreciation and amortization expense increased by $1.3 million, or 32%, to $5.3 million in the three months ended June 30, 2016 compared to the same period in 2015, driven in large part by increases in the depreciation of capitalized internal-use software. Employee-related expenses increased $0.8 million, or 21%, driven by an increase in headcount in customer service, content and website operations to support increased customer volume and a more robust hosting infrastructure.</w:t>
      </w:r>
    </w:p>
    <w:p>
      <w:pPr>
        <w:spacing w:after="0" w:line="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$4.1 million, or 15%, to $31.6 million in the three months ended June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2015. The change was driven by a $2.6 million increase in advertising expenses, which represents an 18% increase over the prior year. Advertising expenses have historically been the most significant component of sales and marketing expenses and can vary based on the timing of our strategic initiatives. Employee-related expenses, including travel and entertainment, increased by $1.4 million, or 13%, driven by an increase in sales and marketing headcount to support our expansion into new markets and increased sales commissions as a result of</w:t>
      </w:r>
    </w:p>
    <w:p>
      <w:pPr>
        <w:spacing w:after="0" w:line="30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growing revenue from our direct sales. We anticipate that our global sales and marketing spend will continue to increase in absolute dollars for the foreseeable future as we continue to expand into additional markets.</w:t>
      </w:r>
    </w:p>
    <w:p>
      <w:pPr>
        <w:spacing w:after="0" w:line="62"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i w:val="1"/>
          <w:iCs w:val="1"/>
          <w:color w:val="auto"/>
        </w:rPr>
        <w:t>Product Development</w:t>
      </w:r>
      <w:r>
        <w:rPr>
          <w:rFonts w:ascii="Arial" w:cs="Arial" w:eastAsia="Arial" w:hAnsi="Arial"/>
          <w:sz w:val="17"/>
          <w:szCs w:val="17"/>
          <w:color w:val="auto"/>
        </w:rPr>
        <w:t>. Product development expenses increased by $1.8 million, or 17%, to $12.0 million in the three months ended June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2015. Employee-related and consulting-related expenses increased by $4.4 million, or 51%, driven by an increase in human capital requirements in product, engineering and quality assurance to support our increasing number of product development initiatives for our e-commerce platform, including ongoing efforts to improve our search capabilities. The increase in employee-related and consulting-related expenses was offset by an increase in capitalized labor costs of $3.0 million for internal-use software development projects. We anticipate product development expenses will continue to increase in absolute dollars in the future, of which a portion will continue to be capitalized, as we continue to invest in developing new products and internal tools and enhancing the functionality of our existing products and technology.</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increased by $3.6 million, or 25%, to $18.2 million in the three months ended</w:t>
      </w:r>
    </w:p>
    <w:p>
      <w:pPr>
        <w:spacing w:after="0" w:line="3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June 30, 2016 compared to the same period in 2015. Employee-related expenses, excluding non-cash equity-based compensation, increased by $1.2 million, or 29%, driven by an increase in headcount in finance, legal, human resources, internal information technology and business intelligence personnel to support the growth in our business and the infrastructure necessary to operate as a public company, which was partly offset by a decrease in non-cash equity-based compensation of $0.6 million or 14%. Expenses related to the allowance for doubtful accounts increased by approximately $1.0 million primarily as a result of a deterioration of the aging of accounts receivable, evaluations of specific customers during the period and an increase in the gross receivable balance due to higher sales to enterprise customers. Professional fees, software licenses and allocated depreciation and amortization expense increased by $0.7 million primarily due to increased outside services and costs related to improving our application and hardware infrastructure.</w:t>
      </w:r>
    </w:p>
    <w:p>
      <w:pPr>
        <w:spacing w:after="0" w:line="61"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i w:val="1"/>
          <w:iCs w:val="1"/>
          <w:color w:val="auto"/>
        </w:rPr>
        <w:t>Other Expense, Net</w:t>
      </w:r>
      <w:r>
        <w:rPr>
          <w:rFonts w:ascii="Arial" w:cs="Arial" w:eastAsia="Arial" w:hAnsi="Arial"/>
          <w:sz w:val="17"/>
          <w:szCs w:val="17"/>
          <w:color w:val="auto"/>
        </w:rPr>
        <w:t>. Other expense primarily consists of the changes in the fair value of contingent consideration related to certain of our recent</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and foreign currency transaction gains and losses. In the current period, foreign currency transaction losses and changes in fair value of contingent consideration were not significant. In the prior year’s comparable period, foreign currency transaction gains mostly offset total charges related to contingent consideration. We expect foreign currency transaction gains and losses to continue to fluctuate as we continue to expand our international operations and increase the volume of business transacted in currencies other than the U.S. dollar.</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Income tax expense decreased by $1.3 million to $3.0 million in the three months ended June 30, 2016 compared to the same period in</w:t>
      </w:r>
    </w:p>
    <w:p>
      <w:pPr>
        <w:spacing w:after="0" w:line="4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2015. Our effective tax rate for the three months ended June 30, 2016 and 2015 was 29.4% and 44.5%, respectively. During the three months ended June 30, 2016, we incurred a net discrete tax benefit resulting primarily from a reserve release related to our uncertain tax positions which decreased our effective tax rate by 9.1% and during the three months ended June 30, 2015, we incurred a net discrete tax expense which increased our effective tax rate by 1.0%. Excluding those discrete items, our effective tax rate would have been 38.5% and 43.5% during the three months ended June 30, 2016 and 2015, respectively.</w:t>
      </w:r>
    </w:p>
    <w:p>
      <w:pPr>
        <w:spacing w:after="0" w:line="29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2016 and 2015</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Six Months Ended June 30,</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241,071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201,887</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39,184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100,308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82,070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18,238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58,659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6"/>
                <w:szCs w:val="16"/>
                <w:color w:val="auto"/>
              </w:rPr>
              <w:t>Product development</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20,873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28,508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9,101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514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219,772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183,985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35,787</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17,902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2,395</w:t>
            </w:r>
          </w:p>
        </w:tc>
        <w:tc>
          <w:tcPr>
            <w:tcW w:w="10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5,792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7,693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6,703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spacing w:after="0"/>
        <w:tabs>
          <w:tab w:leader="none" w:pos="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Revenue increased by $39.2 million, or 19%, to $241.1 million in the six months ended June 30, 2016 compared to the same period in 2015. We continue to undertake initiatives focused on broadening our subscription product offerings, which has resulted in increased customer utilization and provides customers an effective price per content download that is more economical at higher volumes. We believe these offerings will lead to sustained customer engagement over longer periods. As a result of these initiatives, the increase in revenue was primarily attributable to a 22% increase in the number of paid downloads, the acquisition of new customers and increased activity by our enterprise customers, despite a 2% decrease in revenue per download. In the six months ended June 30, 2016 and 2015, we delivered 84.6 million and 69.3 million paid downloads, respectively, and our average revenue per download during these periods was $2.79 and $2.86, respectively.</w:t>
      </w:r>
    </w:p>
    <w:p>
      <w:pPr>
        <w:spacing w:after="0" w:line="70"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In the six months ended June 30, 2016 compared to the same period in 2015, revenue from North America increased to 40% from 39% while revenue from Europe decreased to 33% from 34% and revenue from the rest of the world remained relatively flat at approximately 27% of total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increased by $18.2 million, or 22%, to $100.3 million in the six months ended June 30, 2016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2015. Royalties increased $12.5 million, or 22%, which was in line with the change in the number of paid downloads during the period. We anticipate royalties will continue growing in absolute dollars as revenue grows, although royalties as a percentage of revenue may vary somewhat from period to period primarily due to customer usage, product mix and to a lesser extent due to the contributors’ achievement level of royalty target thresholds. Employee-related expenses increased by $1.4 million, or 18%, driven by an increase in headcount in customer service, content and website operations to support increased customer volume and a more robust hosting infrastructure. Other costs associated with website hosting, content consulting and allocated depreciation and amortization expense increased by $2.3 million, or 30%, to $10.1 million in the six months ended June 30, 2016 compared to the same period in 2015.</w:t>
      </w:r>
    </w:p>
    <w:p>
      <w:pPr>
        <w:spacing w:after="0" w:line="84" w:lineRule="exact"/>
        <w:rPr>
          <w:sz w:val="20"/>
          <w:szCs w:val="20"/>
          <w:color w:val="auto"/>
        </w:rPr>
      </w:pPr>
    </w:p>
    <w:p>
      <w:pPr>
        <w:ind w:right="220" w:firstLine="405"/>
        <w:spacing w:after="0" w:line="271"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$6.1 million, or 12%, to $58.7 million in the six months ended June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2015. Advertising expenses, the largest component of our sales and marketing expenses, increased by $2.3 million, or 8%, compared to the same period in 2015 as a result of increased spending on affiliate, search advertising and other new channels. We anticipate that our global advertising spend will continue to increase in absolute dollars for the foreseeable future, as we further our international expansion. Employee-related expenses, including travel and entertainment, increased by $3.4 million, or 16%, driven by an increase in sales and marketing headcount to support our expansion into new markets and increased sales commissions as a result of growing revenue from our direct sales. We anticipate that our global sales and marketing spend will continue to increase in absolute dollars for the foreseeable future as we continue to pursue growth through new products and geographies as well as growth from new customers.</w:t>
      </w:r>
    </w:p>
    <w:p>
      <w:pPr>
        <w:sectPr>
          <w:pgSz w:w="11900" w:h="16838" w:orient="portrait"/>
          <w:cols w:equalWidth="0" w:num="1">
            <w:col w:w="11400"/>
          </w:cols>
          <w:pgMar w:left="240" w:top="125" w:right="259" w:bottom="1440" w:gutter="0" w:footer="0" w:header="0"/>
        </w:sectPr>
      </w:pPr>
    </w:p>
    <w:p>
      <w:pPr>
        <w:spacing w:after="0" w:line="31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25" w:right="259" w:bottom="1440" w:gutter="0" w:footer="0" w:header="0"/>
          <w:type w:val="continuous"/>
        </w:sectPr>
      </w:pPr>
    </w:p>
    <w:bookmarkStart w:id="27" w:name="page28"/>
    <w:bookmarkEnd w:id="27"/>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by $2.3 million, or 11%, to $23.2 million in the six months ended June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2015. Employee-related and consulting-related expenses increased by $7.2 million, or 41%, driven by an increase in human capital requirements in product, engineering and quality assurance to support our increasing number of product development initiatives for our websites, including ongoing efforts to improve our search capabilities. The increase in employee-related and consulting-related expenses was partially offset by an increase in capitalized costs of $5.7 million for internal-use software development projects. We anticipate product development expenses to increase in absolute dollars for the foreseeable future, of which a portion will continue to be capitalized, as we continue to invest in developing new products and internal tools and enhancing the functionality of our existing products and technology.</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$9.1 million, or 32%, to $37.6 million in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compared to the same period in 2015. Employee-related expenses, excluding non-cash equity based compensation, increased by $2.2 million, or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driven by an increase in headcount in finance, legal, human resources, internal information technology and business intelligence personnel to support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growth in our business and the infrastructure necessary to operate as a public company, partly offset by a decrease in non-cash equity-based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of $0.4 million. Professional fees, software licenses and allocated depreciation and amortization expense increased by $2.1 million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outside services and costs related to improving our system infrastructure. Expenses related to the allowance for doubtful accounts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 million primarily as a result of a deterioration of the aging of accounts receivable, evaluations of specific customers during the period and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gross receivable balance due to higher sales to enterprise customers. Also included in general and administrative expenses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2016 is a charge of $1.7 million related to a modification of the terms of the PremiumBeat contingent consideration arrangement.</w:t>
      </w:r>
    </w:p>
    <w:p>
      <w:pPr>
        <w:spacing w:after="0" w:line="10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expenses primarily include foreign currency gains and losses and changes in the fair value of contingent consideration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passage of time. During the six months ended June 30, 2016, expenses related to contingent consideration were partly offset by foreign currency transaction gains, as compared to 2015 where foreign currency transaction losses caused other expenses to be significantly higher. The change in the impact of foreign currency drove an increase in other expense of $2.3 million in the six months ended June 30, 2016 as compared to the prior period. We expect foreign currency transaction gains and losses to continue to fluctuate as we continue to expand our international operations and increase the volume of business transacted in currencies other than the U.S. dollar.</w:t>
      </w:r>
    </w:p>
    <w:p>
      <w:pPr>
        <w:spacing w:after="0" w:line="85"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expense increased by $1.0 million to $7.7 million in the six months ended June 30, 2016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Our effective tax rate for the six months ended June 30, 2016 and 2015 was 36.5% and 43.9%, respectively. During the six months ended June 30, 2016, we incurred a discrete tax benefit resulting primarily from a reserve release related to our uncertain tax positions, which decreased our effective tax rate by 3.3% and during the six months ended June 30, 2015, we incurred a net discrete tax expense which increased our effective tax rate by 1.7%. Excluding these discrete items, the effective tax rate would have been 39.8% and 42.2% during the six months ended June 30, 2016 and 2015,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operating results may fluctuate from quarter to quarter as a result of a variety of factors, including the effects of some seasonal trends in customer behavior. For example, we expect certain customers’ usage may decrease during the fourth quarter of each calendar year due to the year-end holiday vacation season and may increase in the first quarter of each calendar year as many customers return to work. While we believe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85"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In addition, expenditures on digital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As of June 30, 2016, we had cash and cash equivalents of $210.9 million, which consisted primarily of money market mutual funds and checking account balances. Additionally, we held short-term investments in the amount of $55.0 million, all of which mature in 90 days or less. Since inception, we have financed our operations primarily through cash flows generated from operations.</w:t>
      </w:r>
    </w:p>
    <w:p>
      <w:pPr>
        <w:spacing w:after="0" w:line="7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Historically, our principal uses of cash have been funding our operations, capital expenditures, content acquisition, business combinations that enhance our strategic position and share purchases under our share repurchase program. We plan to</w:t>
      </w:r>
    </w:p>
    <w:p>
      <w:pPr>
        <w:spacing w:after="0" w:line="30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63"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In October 2015, our board of directors approved a share repurchase program, pursuant to which we are authorized to repurchase up to $100 million of our common stock. We expect to fund repurchases through a combination of cash on hand, cash generated by operations and future financing transactions, if appropriate. Accordingly, our share repurchase program is subject to us having available cash to fund repurchases. Under this program, management is authorized to purchase shares from time to time through open market purchases or privately negotiated transactions at prevailing prices as permitted by securities laws and other legal requirements, and subject to market conditions and other factors.</w:t>
      </w:r>
    </w:p>
    <w:p>
      <w:pPr>
        <w:spacing w:after="0" w:line="6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of June 30, 2016, we have repurchased approximately 1,739,000 shares of our common stock under the share repurchase program at an average per-share cost of $34.33, of which $0.4 million has not been paid and is included in accrued expenses as of June 30, 2016. As of June 30, 2016, we had $40.3 million remaining for share repurchases under this program.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We believe, based on our current operating plan, that our cash and cash equivalents, and cash from operations, will be sufficient to meet our anticipated cash needs for at least the next 12 months. Consistent with previous periods, we expect that future capital expenditures will primarily relate to acquiring additional servers and network connectivity hardware and software, enhancements to the functionality of our current platform, leasehold improvements and furniture and fixtures related to office expansion and relocation, digital content and general corporate infrastructure. We anticipate capital additions, inclusive of digital content acquisition and capitalized labor, of approximately $17.0 million during the remainder of 2016. In April 2016, we paid the full amount of the contingent purchase price for WebDAM of approximately $4.0 million, and expect to pay $10.0 million related to the contingent purchase price for PremiumBeat during the first half of 2017. See Note 6 to our Unaudited Consolidated Financial Statements included in Part I, Item 1 of this Quarterly Report on Form 10-Q for information regarding existing capital commitments as of June 30,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6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settlement of accounts payable to contributors and vendors and employee-related expenditures.</w:t>
      </w:r>
    </w:p>
    <w:p>
      <w:pPr>
        <w:spacing w:after="0" w:line="7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the six months ended June 30, 2016, net cash provided by operating activities was $41.6 million, including net income of $13.4 million, non-cash equity-based compensation of $14.6 million, depreciation and amortization of $9.0 million and the change in fair value of contingent consideration of $2.5 million. Cash inflows from changes in operating assets and liabilities included an increase in deferred revenue of $13.0 million, primarily related to the change in the volume of sales activity for which revenue has not been recognized, and to a lesser extent an increase in deferred revenue related to our WebDAM services. These amounts were offset by the portion of the contingent consideration payment related to the WebDAM acquisition that was classified as an operating cash flow of approximately $1.6 million.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6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used in investing activities in the six months ended June 30, 2016 was $26.4 million, consisting primarily of capital expenditures to purchase software and equipment related to our data centers, as well as capitalization of leasehold improvements and website development costs in the amount of $16.3 million. We also paid $1.5 million to acquire the rights to distribute certain digital content in perpetuity. In addition, we increased our position in short-term investments by $7.8 million, net of sales.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63"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Cash used in financing activities in the six months ended June 30, 2016 was $43.9 million, consisting primarily of $44.5 million paid for share repurchases during the period and $2.4 million which was paid to the former owners of WebDAM in settlement of the contingent purchase price liability established at the acquisition date. These amounts were offset by proceeds of approximately $4.3 million from the issuance of common stock in connection with the exercise of stock options and the sale of stock under our employee stock purchase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We lease office facilities under operating lease agreements that expire on various dates through 2029. We also have several co-location agreements with third-party hosting facilities that expire through 2017. We do not have any material capital</w:t>
      </w:r>
    </w:p>
    <w:p>
      <w:pPr>
        <w:spacing w:after="0" w:line="30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lease obligations, and our property, equipment and software have been purchased primarily with cash. We anticipate expanding our office and co-location facilities as our revenue and customer base continue to grow and diversify.</w:t>
      </w:r>
    </w:p>
    <w:p>
      <w:pPr>
        <w:spacing w:after="0" w:line="62"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On March 21, 2013, we entered into an operating lease agreement to lease our headquarters in New York City. The aggregate future minimum lease payments under the lease, as amended, are approximately $84.7 million. We are also party to a letter of credit as a security deposit for this leased facility, which was increased to $2.6 million in January 2016 in connection with an amendment of the lease. As of June 30, 2016, the letter of credit is collateralized by $2.6 million of cash, which is reported as restricted cash on our consolidated balance sheet as of June 30, 2016.</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Additionally, as of June 30, 2016, aggregate future minimum lease payments under other operating leases are approximately $7.4 million.</w:t>
      </w:r>
    </w:p>
    <w:p>
      <w:pPr>
        <w:spacing w:after="0" w:line="11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As of June 30, 2016, our guaranteed royalty payments and unconditional purchase obligations for the remainder of 2016 and for the fiscal years ending December 31, 2017, 2018, 2019 and 2020 were approximately $4.8 million, $9.0 million, $7.4 million, $4.0 million and $3.8 million,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June 30, 2016,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 or capital resources that is material to investors.</w:t>
      </w:r>
    </w:p>
    <w:p>
      <w:pPr>
        <w:spacing w:after="0" w:line="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interest rate fluctuation, foreign currency exchange rate fluctuation and inflation.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investments include cash, cash equivalents and short-term investments which consist of commercial paper. Our cash and cash equivalents consist of cash and money market accounts. The primary objective of our investment activities is to preserve principal while maximizing income without significantly increasing risk. Because our cash, cash equivalents and short-term investments have a maximum term of ninety days, our portfolio’s fair value is not particularly sensitive to interest rate changes. We do not enter into investments for speculative purposes. We determined that the nominal difference in basis points for investing our cash, cash equivalents and short-term investments in longer-term investments did not warrant a change in our investment strategy. In future periods, we will continue to evaluate our investment policy in order to ensure that we continue to meet our overall objectives.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have any borrowings as of June 30,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Revenue derived from customers residing outside North America as a percentage of total revenue was approximately 60% for both of the three months ended June 30, 2016 and 2015 and approximately 60% and 61% for the six months ended June 30, 2016 and 2015, respectively. 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33% and 31% for the three months ended June 30, 2016 and 2015, respectively, and approximately 32% and 32% for the six months ended June 30, 2016 and 2015, respectively. We have foreign currency exchange risks related to non-U.S. dollar denominated revenues. All amounts earned by and paid to our foreign contributors are denominated in the U.S. dollar and therefore do not create foreign currency exchange risk. However, changes in exchange rates will affect our revenue and certain operating expenses, primarily employee-related expenses for our non-U.S. employees. Based on our foreign currency denominated revenue for the six months ended June 30, 2016, we estimate that a 10% change in the exchange rate of the U.S. dollar against all foreign currency denominated revenues would result in an approximately 3% impact on our revenue.</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Although the majority of our revenue and expenses are incurred in the U.S. dollar, we have experienced fluctuations in our net income as a result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volume of our business transacted in foreign currency and the changes in strength of the U.S. dollar against foreign currencies, specifically the euro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British pound. During the three and six months ended June 30, 2016, the impact of foreign currency transactions was a loss of $0.3 million and a gain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$0.4 million, respectively. We do not currently enter into derivatives or other financial instruments in order to hedge our foreign currency exchange risk, but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may do so in the future. It is difficult to predict the impact hedging activities would have on our results of operations.</w:t>
      </w:r>
    </w:p>
    <w:p>
      <w:pPr>
        <w:spacing w:after="0" w:line="34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80" w:firstLine="405"/>
        <w:spacing w:after="0" w:line="316" w:lineRule="auto"/>
        <w:rPr>
          <w:sz w:val="20"/>
          <w:szCs w:val="20"/>
          <w:color w:val="auto"/>
        </w:rPr>
      </w:pPr>
      <w:r>
        <w:rPr>
          <w:rFonts w:ascii="Arial" w:cs="Arial" w:eastAsia="Arial" w:hAnsi="Arial"/>
          <w:sz w:val="15"/>
          <w:szCs w:val="15"/>
          <w:color w:val="auto"/>
        </w:rPr>
        <w:t>We have established foreign subsidiaries in various countries around the world and as a result the financial statements of these foreign subsidiaries are reported in the applicable foreign currencies (functional currencies). For those entities where the functional currency is the local currency, adjustments resulting from translating the financial statements into U.S. dollars are recorded as a component of accumulated other comprehensive income (loss) in stockholders' equity. Monetary assets and liabilities denominated in a foreign currency are translated into U.S. dollars at the exchange rate on the balance sheet date. Revenue and expenses are translated at the weighted average exchange rates during the period. Equity transactions are translated using historical exchange rates. Foreign currency transaction gains and losses are included in other income (expense), net in the consolidated statements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2016.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2016, our Chief Executive Officer and Chief Financial Officer concluded that, as of such date, our disclosure controls and procedures were effective at the reasonable assurance level.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Our management is in the process of implementing our internal control structure over Rex Features and PremiumBeat, both of which we acquired in January 2015. Except for the changes associated with this implementation, 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30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Although we are not currently a party to any material active litigation, from time to time, third parties assert claims against us regarding intellectual property rights,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2015 Form 10-K, which could materially affect our business, financial condition or future results. During the three months ended June 30, 2016, there were no material changes to the risk factors described in our 2015 Form 10-K, other than as disclosed below.</w:t>
      </w:r>
    </w:p>
    <w:p>
      <w:pPr>
        <w:spacing w:after="0" w:line="24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Continuing expansion into international markets is important for our growth, and as we continue to expand internationally, we face additional business, political, regulatory, operational, financial and economic risks, any of which could increase our costs or otherwise limit our growth.</w:t>
      </w:r>
    </w:p>
    <w:p>
      <w:pPr>
        <w:spacing w:after="0" w:line="15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Continuing to expand our business to attract customers and contributors in countries other than the United States is a critical element of our business strategy. In the six months ended June 30, 2016, approximately 65% of our revenue was derived from customers located outside of the United States. While a significant portion of our customers reside outside of the United States, we have a limited operating history as a company outside the United States. We expect to continue to devote significant resources to international expansion through establishing additional offices, hiring additional overseas personnel and exploring acquisition opportunities. In addition, we expect to increase marketing for our foreign language offerings and to further localize our collection and user experience for foreign markets. Our ability to expand our business and to attract talented employees, as well as customers and contributors, in an increasing number of international markets requires considerable management attention and resources and is subject to the particular challenges of supporting a rapidly growing business in an environment of multiple languages, cultures, customs, legal systems, alternative dispute systems, regulatory systems and commercial infrastructures. Expanding our international focus may subject us to risks that we have not faced before or increase risks that we currently face, including risks associated with:</w:t>
      </w:r>
    </w:p>
    <w:p>
      <w:pPr>
        <w:spacing w:after="0" w:line="9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modifying our technology and marketing our offerings for customers and contributors beyond the 20 languages we currently offer;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localizing our content to foreign customers' preferences and customs;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1" w:lineRule="exact"/>
        <w:rPr>
          <w:rFonts w:ascii="Arial" w:cs="Arial" w:eastAsia="Arial" w:hAnsi="Arial"/>
          <w:sz w:val="18"/>
          <w:szCs w:val="18"/>
          <w:color w:val="auto"/>
        </w:rPr>
      </w:pPr>
    </w:p>
    <w:p>
      <w:pPr>
        <w:ind w:left="980" w:right="5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foreign laws and regulations, including disclosure requirements, privacy laws, marketing restrictions, rights of publicity, technology laws and laws relating to our content;</w:t>
      </w:r>
    </w:p>
    <w:p>
      <w:pPr>
        <w:ind w:left="980" w:right="2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disturbances in a specific country's or region's political, economic or military conditions, including potential sanctions (e.g., recent significant civil, political and economic disturbances in Russia, Ukraine and the Crimean peninsula);</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protecting and enforcing our intellectual property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recruiting and retaining talented and capable management and employees in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strains on our financial and other systems to properly implement compliance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fluctuations;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13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These risks may make it impossible or prohibitively expensive to expand to new international markets, or delay entry into such markets, which may affect our ability to grow our business.</w:t>
      </w:r>
    </w:p>
    <w:p>
      <w:pPr>
        <w:spacing w:after="0" w:line="33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addition, we could be adversely affected if legislation or regulations are imposed or expanded to require changes in our business practices or if governing jurisdictions interpret or implement their legislation or regulations in ways that negatively affect our business. For example, the Russian government recently passed a law effective September 1, 2015 requiring companies that collect personal data of Russian citizens to process and store that data on servers located in Russia. In addition, the European Court of Justice recently invalidated the U.S.-EU Safe Harbor regime on which we depended to legitimize some of our data flows from Europe to the United States. As a result, we are in the process of implementing alternative mechanisms to comply with Russian data localization laws and European Union (“E.U.”) privacy laws. However, there can be no assurance that we will be able to successfully comply with these laws, and therefore we may be in violation of all or some of these laws.</w:t>
      </w:r>
    </w:p>
    <w:p>
      <w:pPr>
        <w:spacing w:after="0" w:line="9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On June 23, 2016, the United Kingdom held a referendum in which voters approved a withdrawal from the European Union, commonly referred to as “Brexit”. Since the 2015 fiscal year, sales to customers in the United Kingdom have accounted for 10% or more of our total revenue and sales to customers in Europe, including the United Kingdom, have accounted for 30% or more of our total revenue. As a result of the Brexit vote, the United Kingdom is expected to initiate a process to leave the European Union. and begin negotiating the terms of the United Kingdom’s future relationship with the European Union. At this time, it is uncertain what impact this process will have on the economy in Europe, including in the United Kingdom, or on the British pound or other European exchange rates. Adverse consequences such as deterioration in economic conditions, volatility in currency exchange rates or adverse changes in regulation could have a negative impact on our results of operations or financial position. In addition, Brexit could lead to legal uncertainty and potentially divergent national laws and regulations, such as those related to data privacy, as the United Kingdom determines which E.U. laws to replace or replicate.</w:t>
      </w:r>
    </w:p>
    <w:p>
      <w:pPr>
        <w:spacing w:after="0" w:line="5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4120" w:type="dxa"/>
            <w:vAlign w:val="bottom"/>
            <w:gridSpan w:val="5"/>
          </w:tcPr>
          <w:p>
            <w:pPr>
              <w:ind w:left="780"/>
              <w:spacing w:after="0"/>
              <w:rPr>
                <w:sz w:val="20"/>
                <w:szCs w:val="20"/>
                <w:color w:val="auto"/>
              </w:rPr>
            </w:pPr>
            <w:r>
              <w:rPr>
                <w:rFonts w:ascii="Arial" w:cs="Arial" w:eastAsia="Arial" w:hAnsi="Arial"/>
                <w:sz w:val="14"/>
                <w:szCs w:val="14"/>
                <w:b w:val="1"/>
                <w:bCs w:val="1"/>
                <w:color w:val="auto"/>
              </w:rPr>
              <w:t>ISSUER PURCHASES OF EQUITY SECURITIES</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 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46"/>
              <w:spacing w:after="0"/>
              <w:rPr>
                <w:sz w:val="20"/>
                <w:szCs w:val="20"/>
                <w:color w:val="auto"/>
              </w:rPr>
            </w:pPr>
            <w:r>
              <w:rPr>
                <w:rFonts w:ascii="Arial" w:cs="Arial" w:eastAsia="Arial" w:hAnsi="Arial"/>
                <w:sz w:val="14"/>
                <w:szCs w:val="14"/>
                <w:b w:val="1"/>
                <w:bCs w:val="1"/>
                <w:color w:val="auto"/>
                <w:w w:val="98"/>
              </w:rPr>
              <w:t>(d) Maximum Number(or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 Value) 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 Total Number of Shares (or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 Average Price Paid Per</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Units)Purchased as Part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4"/>
              </w:rPr>
              <w:t>Shares (or Units) That May</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 Plans or</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Yet Be Purchased Under the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Units) Purchased</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Share (or Unit)</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w:t>
            </w:r>
            <w:r>
              <w:rPr>
                <w:rFonts w:ascii="Arial" w:cs="Arial" w:eastAsia="Arial" w:hAnsi="Arial"/>
                <w:sz w:val="8"/>
                <w:szCs w:val="8"/>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2"/>
              </w:rPr>
              <w:t>Plans or Programs</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1 - 30, 2016</w:t>
            </w:r>
          </w:p>
        </w:tc>
        <w:tc>
          <w:tcPr>
            <w:tcW w:w="1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153,881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May 1 - 31, 2016</w:t>
            </w:r>
          </w:p>
        </w:tc>
        <w:tc>
          <w:tcPr>
            <w:tcW w:w="1940" w:type="dxa"/>
            <w:vAlign w:val="bottom"/>
          </w:tcPr>
          <w:p>
            <w:pPr>
              <w:jc w:val="right"/>
              <w:ind w:right="43"/>
              <w:spacing w:after="0"/>
              <w:rPr>
                <w:sz w:val="20"/>
                <w:szCs w:val="20"/>
                <w:color w:val="auto"/>
              </w:rPr>
            </w:pPr>
            <w:r>
              <w:rPr>
                <w:rFonts w:ascii="Arial" w:cs="Arial" w:eastAsia="Arial" w:hAnsi="Arial"/>
                <w:sz w:val="16"/>
                <w:szCs w:val="16"/>
                <w:color w:val="auto"/>
              </w:rPr>
              <w:t>148,561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40.65</w:t>
            </w:r>
          </w:p>
        </w:tc>
        <w:tc>
          <w:tcPr>
            <w:tcW w:w="100" w:type="dxa"/>
            <w:vAlign w:val="bottom"/>
          </w:tcPr>
          <w:p>
            <w:pPr>
              <w:spacing w:after="0"/>
              <w:rPr>
                <w:sz w:val="20"/>
                <w:szCs w:val="20"/>
                <w:color w:val="auto"/>
              </w:rPr>
            </w:pPr>
          </w:p>
        </w:tc>
        <w:tc>
          <w:tcPr>
            <w:tcW w:w="1940" w:type="dxa"/>
            <w:vAlign w:val="bottom"/>
          </w:tcPr>
          <w:p>
            <w:pPr>
              <w:jc w:val="right"/>
              <w:ind w:right="43"/>
              <w:spacing w:after="0"/>
              <w:rPr>
                <w:sz w:val="20"/>
                <w:szCs w:val="20"/>
                <w:color w:val="auto"/>
              </w:rPr>
            </w:pPr>
            <w:r>
              <w:rPr>
                <w:rFonts w:ascii="Arial" w:cs="Arial" w:eastAsia="Arial" w:hAnsi="Arial"/>
                <w:sz w:val="16"/>
                <w:szCs w:val="16"/>
                <w:color w:val="auto"/>
              </w:rPr>
              <w:t>148,561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1 - 30, 2016</w:t>
            </w:r>
          </w:p>
        </w:tc>
        <w:tc>
          <w:tcPr>
            <w:tcW w:w="1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96,800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42.98</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96,800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399,242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40.73</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399,242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26"/>
              <w:spacing w:after="0"/>
              <w:rPr>
                <w:sz w:val="20"/>
                <w:szCs w:val="20"/>
                <w:color w:val="auto"/>
              </w:rPr>
            </w:pPr>
            <w:r>
              <w:rPr>
                <w:rFonts w:ascii="Arial" w:cs="Arial" w:eastAsia="Arial" w:hAnsi="Arial"/>
                <w:sz w:val="16"/>
                <w:szCs w:val="16"/>
                <w:color w:val="auto"/>
              </w:rPr>
              <w:t>40,289,734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12700</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12700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-130175</wp:posOffset>
            </wp:positionV>
            <wp:extent cx="1226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-130175</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9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October 2015, our board of directors authorized the repurchase of up to $100 million of our common stock.</w:t>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the Exhibit Index immediately following the signature page of this Quarterly Report on Form 10-Q, which is incorporated herein by reference.</w:t>
      </w:r>
    </w:p>
    <w:p>
      <w:pPr>
        <w:spacing w:after="0" w:line="37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ind w:left="4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7900" w:type="dxa"/>
            <w:vAlign w:val="bottom"/>
            <w:gridSpan w:val="2"/>
          </w:tcPr>
          <w:p>
            <w:pPr>
              <w:ind w:left="2000"/>
              <w:spacing w:after="0"/>
              <w:rPr>
                <w:sz w:val="20"/>
                <w:szCs w:val="20"/>
                <w:color w:val="auto"/>
              </w:rPr>
            </w:pPr>
            <w:r>
              <w:rPr>
                <w:rFonts w:ascii="Arial" w:cs="Arial" w:eastAsia="Arial" w:hAnsi="Arial"/>
                <w:sz w:val="16"/>
                <w:szCs w:val="16"/>
                <w:b w:val="1"/>
                <w:bCs w:val="1"/>
                <w:color w:val="auto"/>
              </w:rPr>
              <w:t>SHUTTERSTOCK, INC.</w:t>
            </w:r>
          </w:p>
        </w:tc>
      </w:tr>
      <w:tr>
        <w:trPr>
          <w:trHeight w:val="513"/>
        </w:trPr>
        <w:tc>
          <w:tcPr>
            <w:tcW w:w="3480" w:type="dxa"/>
            <w:vAlign w:val="bottom"/>
          </w:tcPr>
          <w:p>
            <w:pPr>
              <w:spacing w:after="0"/>
              <w:rPr>
                <w:sz w:val="20"/>
                <w:szCs w:val="20"/>
                <w:color w:val="auto"/>
              </w:rPr>
            </w:pPr>
            <w:r>
              <w:rPr>
                <w:rFonts w:ascii="Arial" w:cs="Arial" w:eastAsia="Arial" w:hAnsi="Arial"/>
                <w:sz w:val="16"/>
                <w:szCs w:val="16"/>
                <w:color w:val="auto"/>
              </w:rPr>
              <w:t>Dated: August 4, 2016</w:t>
            </w:r>
          </w:p>
        </w:tc>
        <w:tc>
          <w:tcPr>
            <w:tcW w:w="2660" w:type="dxa"/>
            <w:vAlign w:val="bottom"/>
          </w:tcPr>
          <w:p>
            <w:pPr>
              <w:ind w:left="2000"/>
              <w:spacing w:after="0"/>
              <w:rPr>
                <w:sz w:val="20"/>
                <w:szCs w:val="20"/>
                <w:color w:val="auto"/>
              </w:rPr>
            </w:pPr>
            <w:r>
              <w:rPr>
                <w:rFonts w:ascii="Arial" w:cs="Arial" w:eastAsia="Arial" w:hAnsi="Arial"/>
                <w:sz w:val="16"/>
                <w:szCs w:val="16"/>
                <w:color w:val="auto"/>
              </w:rPr>
              <w:t>By:</w:t>
            </w:r>
          </w:p>
        </w:tc>
        <w:tc>
          <w:tcPr>
            <w:tcW w:w="5240" w:type="dxa"/>
            <w:vAlign w:val="bottom"/>
          </w:tcPr>
          <w:p>
            <w:pPr>
              <w:ind w:left="20"/>
              <w:spacing w:after="0"/>
              <w:rPr>
                <w:sz w:val="20"/>
                <w:szCs w:val="20"/>
                <w:color w:val="auto"/>
              </w:rPr>
            </w:pPr>
            <w:r>
              <w:rPr>
                <w:rFonts w:ascii="Arial" w:cs="Arial" w:eastAsia="Arial" w:hAnsi="Arial"/>
                <w:sz w:val="16"/>
                <w:szCs w:val="16"/>
                <w:color w:val="auto"/>
              </w:rPr>
              <w:t>/s/ Jonathan Oringer</w:t>
            </w:r>
          </w:p>
        </w:tc>
      </w:tr>
      <w:tr>
        <w:trPr>
          <w:trHeight w:val="33"/>
        </w:trPr>
        <w:tc>
          <w:tcPr>
            <w:tcW w:w="3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17"/>
        </w:trPr>
        <w:tc>
          <w:tcPr>
            <w:tcW w:w="3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Jonathan Oringer</w:t>
            </w:r>
          </w:p>
        </w:tc>
      </w:tr>
      <w:tr>
        <w:trPr>
          <w:trHeight w:val="257"/>
        </w:trPr>
        <w:tc>
          <w:tcPr>
            <w:tcW w:w="34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6"/>
                <w:szCs w:val="16"/>
                <w:i w:val="1"/>
                <w:iCs w:val="1"/>
                <w:color w:val="auto"/>
              </w:rPr>
              <w:t>Chief Executive Officer</w:t>
            </w:r>
          </w:p>
        </w:tc>
      </w:tr>
      <w:tr>
        <w:trPr>
          <w:trHeight w:val="257"/>
        </w:trPr>
        <w:tc>
          <w:tcPr>
            <w:tcW w:w="34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r>
        <w:trPr>
          <w:trHeight w:val="513"/>
        </w:trPr>
        <w:tc>
          <w:tcPr>
            <w:tcW w:w="3480" w:type="dxa"/>
            <w:vAlign w:val="bottom"/>
          </w:tcPr>
          <w:p>
            <w:pPr>
              <w:spacing w:after="0"/>
              <w:rPr>
                <w:sz w:val="20"/>
                <w:szCs w:val="20"/>
                <w:color w:val="auto"/>
              </w:rPr>
            </w:pPr>
            <w:r>
              <w:rPr>
                <w:rFonts w:ascii="Arial" w:cs="Arial" w:eastAsia="Arial" w:hAnsi="Arial"/>
                <w:sz w:val="16"/>
                <w:szCs w:val="16"/>
                <w:color w:val="auto"/>
              </w:rPr>
              <w:t>Dated: August 4, 2016</w:t>
            </w:r>
          </w:p>
        </w:tc>
        <w:tc>
          <w:tcPr>
            <w:tcW w:w="2660" w:type="dxa"/>
            <w:vAlign w:val="bottom"/>
          </w:tcPr>
          <w:p>
            <w:pPr>
              <w:ind w:left="2000"/>
              <w:spacing w:after="0"/>
              <w:rPr>
                <w:sz w:val="20"/>
                <w:szCs w:val="20"/>
                <w:color w:val="auto"/>
              </w:rPr>
            </w:pPr>
            <w:r>
              <w:rPr>
                <w:rFonts w:ascii="Arial" w:cs="Arial" w:eastAsia="Arial" w:hAnsi="Arial"/>
                <w:sz w:val="16"/>
                <w:szCs w:val="16"/>
                <w:color w:val="auto"/>
              </w:rPr>
              <w:t>By:</w:t>
            </w:r>
          </w:p>
        </w:tc>
        <w:tc>
          <w:tcPr>
            <w:tcW w:w="5240" w:type="dxa"/>
            <w:vAlign w:val="bottom"/>
          </w:tcPr>
          <w:p>
            <w:pPr>
              <w:ind w:left="20"/>
              <w:spacing w:after="0"/>
              <w:rPr>
                <w:sz w:val="20"/>
                <w:szCs w:val="20"/>
                <w:color w:val="auto"/>
              </w:rPr>
            </w:pPr>
            <w:r>
              <w:rPr>
                <w:rFonts w:ascii="Arial" w:cs="Arial" w:eastAsia="Arial" w:hAnsi="Arial"/>
                <w:sz w:val="16"/>
                <w:szCs w:val="16"/>
                <w:color w:val="auto"/>
              </w:rPr>
              <w:t>/s/ Steven Berns</w:t>
            </w:r>
          </w:p>
        </w:tc>
      </w:tr>
      <w:tr>
        <w:trPr>
          <w:trHeight w:val="33"/>
        </w:trPr>
        <w:tc>
          <w:tcPr>
            <w:tcW w:w="3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17"/>
        </w:trPr>
        <w:tc>
          <w:tcPr>
            <w:tcW w:w="3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Steven Berns</w:t>
            </w:r>
          </w:p>
        </w:tc>
      </w:tr>
      <w:tr>
        <w:trPr>
          <w:trHeight w:val="257"/>
        </w:trPr>
        <w:tc>
          <w:tcPr>
            <w:tcW w:w="34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r>
      <w:tr>
        <w:trPr>
          <w:trHeight w:val="257"/>
        </w:trPr>
        <w:tc>
          <w:tcPr>
            <w:tcW w:w="34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ind w:left="3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380" w:type="dxa"/>
            <w:vAlign w:val="bottom"/>
          </w:tcPr>
          <w:p>
            <w:pPr>
              <w:spacing w:after="0"/>
              <w:rPr>
                <w:sz w:val="16"/>
                <w:szCs w:val="16"/>
                <w:color w:val="auto"/>
              </w:rPr>
            </w:pPr>
          </w:p>
        </w:tc>
      </w:tr>
      <w:tr>
        <w:trPr>
          <w:trHeight w:val="203"/>
        </w:trPr>
        <w:tc>
          <w:tcPr>
            <w:tcW w:w="8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380" w:type="dxa"/>
            <w:vAlign w:val="bottom"/>
          </w:tcPr>
          <w:p>
            <w:pPr>
              <w:ind w:left="4720"/>
              <w:spacing w:after="0"/>
              <w:rPr>
                <w:sz w:val="20"/>
                <w:szCs w:val="20"/>
                <w:color w:val="auto"/>
              </w:rPr>
            </w:pPr>
            <w:r>
              <w:rPr>
                <w:rFonts w:ascii="Arial" w:cs="Arial" w:eastAsia="Arial" w:hAnsi="Arial"/>
                <w:sz w:val="14"/>
                <w:szCs w:val="14"/>
                <w:b w:val="1"/>
                <w:bCs w:val="1"/>
                <w:color w:val="auto"/>
              </w:rPr>
              <w:t>Exhibit Description</w:t>
            </w:r>
          </w:p>
        </w:tc>
      </w:tr>
      <w:tr>
        <w:trPr>
          <w:trHeight w:val="236"/>
        </w:trPr>
        <w:tc>
          <w:tcPr>
            <w:tcW w:w="820" w:type="dxa"/>
            <w:vAlign w:val="bottom"/>
          </w:tcPr>
          <w:p>
            <w:pPr>
              <w:spacing w:after="0"/>
              <w:rPr>
                <w:sz w:val="20"/>
                <w:szCs w:val="20"/>
                <w:color w:val="auto"/>
              </w:rPr>
            </w:pPr>
            <w:r>
              <w:rPr>
                <w:rFonts w:ascii="Arial" w:cs="Arial" w:eastAsia="Arial" w:hAnsi="Arial"/>
                <w:sz w:val="16"/>
                <w:szCs w:val="16"/>
                <w:color w:val="auto"/>
              </w:rPr>
              <w:t>10.1#</w:t>
            </w:r>
          </w:p>
        </w:tc>
        <w:tc>
          <w:tcPr>
            <w:tcW w:w="10380" w:type="dxa"/>
            <w:vAlign w:val="bottom"/>
          </w:tcPr>
          <w:p>
            <w:pPr>
              <w:ind w:left="200"/>
              <w:spacing w:after="0"/>
              <w:rPr>
                <w:sz w:val="20"/>
                <w:szCs w:val="20"/>
                <w:color w:val="auto"/>
              </w:rPr>
            </w:pPr>
            <w:r>
              <w:rPr>
                <w:rFonts w:ascii="Arial" w:cs="Arial" w:eastAsia="Arial" w:hAnsi="Arial"/>
                <w:sz w:val="16"/>
                <w:szCs w:val="16"/>
                <w:color w:val="auto"/>
              </w:rPr>
              <w:t>Third Lease Modification Agreement, dated July 19, 2016, by and between Shutterstock, Inc. and ESRT Empire State Building, L.L.C.</w:t>
            </w: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10.2#</w:t>
            </w:r>
          </w:p>
        </w:tc>
        <w:tc>
          <w:tcPr>
            <w:tcW w:w="10380" w:type="dxa"/>
            <w:vAlign w:val="bottom"/>
          </w:tcPr>
          <w:p>
            <w:pPr>
              <w:ind w:left="200"/>
              <w:spacing w:after="0"/>
              <w:rPr>
                <w:sz w:val="20"/>
                <w:szCs w:val="20"/>
                <w:color w:val="auto"/>
              </w:rPr>
            </w:pPr>
            <w:r>
              <w:rPr>
                <w:rFonts w:ascii="Arial" w:cs="Arial" w:eastAsia="Arial" w:hAnsi="Arial"/>
                <w:sz w:val="16"/>
                <w:szCs w:val="16"/>
                <w:color w:val="auto"/>
              </w:rPr>
              <w:t>Employment Agreement, dated April 13, 2015 between the Company and Aditi Gokhale</w:t>
            </w: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10.3#</w:t>
            </w:r>
          </w:p>
        </w:tc>
        <w:tc>
          <w:tcPr>
            <w:tcW w:w="10380" w:type="dxa"/>
            <w:vAlign w:val="bottom"/>
          </w:tcPr>
          <w:p>
            <w:pPr>
              <w:ind w:left="200"/>
              <w:spacing w:after="0"/>
              <w:rPr>
                <w:sz w:val="20"/>
                <w:szCs w:val="20"/>
                <w:color w:val="auto"/>
              </w:rPr>
            </w:pPr>
            <w:r>
              <w:rPr>
                <w:rFonts w:ascii="Arial" w:cs="Arial" w:eastAsia="Arial" w:hAnsi="Arial"/>
                <w:sz w:val="16"/>
                <w:szCs w:val="16"/>
                <w:color w:val="auto"/>
              </w:rPr>
              <w:t>Mutual Separation Agreement and General Release, dated November 3, 2015, between the Company and Aditi Gokhale</w:t>
            </w:r>
          </w:p>
        </w:tc>
      </w:tr>
      <w:tr>
        <w:trPr>
          <w:trHeight w:val="290"/>
        </w:trPr>
        <w:tc>
          <w:tcPr>
            <w:tcW w:w="820" w:type="dxa"/>
            <w:vAlign w:val="bottom"/>
          </w:tcPr>
          <w:p>
            <w:pPr>
              <w:spacing w:after="0"/>
              <w:rPr>
                <w:sz w:val="20"/>
                <w:szCs w:val="20"/>
                <w:color w:val="auto"/>
              </w:rPr>
            </w:pPr>
            <w:r>
              <w:rPr>
                <w:rFonts w:ascii="Arial" w:cs="Arial" w:eastAsia="Arial" w:hAnsi="Arial"/>
                <w:sz w:val="16"/>
                <w:szCs w:val="16"/>
                <w:color w:val="auto"/>
              </w:rPr>
              <w:t xml:space="preserve">10.4# </w:t>
            </w:r>
            <w:r>
              <w:rPr>
                <w:rFonts w:ascii="Arial" w:cs="Arial" w:eastAsia="Arial" w:hAnsi="Arial"/>
                <w:sz w:val="18"/>
                <w:szCs w:val="18"/>
                <w:color w:val="auto"/>
              </w:rPr>
              <w:t>§</w:t>
            </w:r>
          </w:p>
        </w:tc>
        <w:tc>
          <w:tcPr>
            <w:tcW w:w="10380" w:type="dxa"/>
            <w:vAlign w:val="bottom"/>
          </w:tcPr>
          <w:p>
            <w:pPr>
              <w:ind w:left="200"/>
              <w:spacing w:after="0"/>
              <w:rPr>
                <w:sz w:val="20"/>
                <w:szCs w:val="20"/>
                <w:color w:val="auto"/>
              </w:rPr>
            </w:pPr>
            <w:r>
              <w:rPr>
                <w:rFonts w:ascii="Arial" w:cs="Arial" w:eastAsia="Arial" w:hAnsi="Arial"/>
                <w:sz w:val="16"/>
                <w:szCs w:val="16"/>
                <w:color w:val="auto"/>
              </w:rPr>
              <w:t>Shutterstock, Inc. Amended and Restated 2012 Omnibus Equity Incentive Plan</w:t>
            </w:r>
          </w:p>
        </w:tc>
      </w:tr>
      <w:tr>
        <w:trPr>
          <w:trHeight w:val="247"/>
        </w:trPr>
        <w:tc>
          <w:tcPr>
            <w:tcW w:w="820" w:type="dxa"/>
            <w:vAlign w:val="bottom"/>
          </w:tcPr>
          <w:p>
            <w:pPr>
              <w:spacing w:after="0"/>
              <w:rPr>
                <w:sz w:val="20"/>
                <w:szCs w:val="20"/>
                <w:color w:val="auto"/>
              </w:rPr>
            </w:pPr>
            <w:r>
              <w:rPr>
                <w:rFonts w:ascii="Arial" w:cs="Arial" w:eastAsia="Arial" w:hAnsi="Arial"/>
                <w:sz w:val="16"/>
                <w:szCs w:val="16"/>
                <w:color w:val="auto"/>
              </w:rPr>
              <w:t>31.1#</w:t>
            </w:r>
          </w:p>
        </w:tc>
        <w:tc>
          <w:tcPr>
            <w:tcW w:w="10380" w:type="dxa"/>
            <w:vAlign w:val="bottom"/>
          </w:tcPr>
          <w:p>
            <w:pPr>
              <w:ind w:left="200"/>
              <w:spacing w:after="0"/>
              <w:rPr>
                <w:sz w:val="20"/>
                <w:szCs w:val="20"/>
                <w:color w:val="auto"/>
              </w:rPr>
            </w:pPr>
            <w:r>
              <w:rPr>
                <w:rFonts w:ascii="Arial" w:cs="Arial" w:eastAsia="Arial" w:hAnsi="Arial"/>
                <w:sz w:val="16"/>
                <w:szCs w:val="16"/>
                <w:color w:val="auto"/>
                <w:w w:val="91"/>
              </w:rPr>
              <w:t>Certification of Chief Executive Officer pursuant to Exchange Act Rules 13a-14(a) and 15d-14(a), as adopted pursuant to Section 302 of the Sarbanes-Oxley</w:t>
            </w:r>
          </w:p>
        </w:tc>
      </w:tr>
      <w:tr>
        <w:trPr>
          <w:trHeight w:val="206"/>
        </w:trPr>
        <w:tc>
          <w:tcPr>
            <w:tcW w:w="820" w:type="dxa"/>
            <w:vAlign w:val="bottom"/>
          </w:tcPr>
          <w:p>
            <w:pPr>
              <w:spacing w:after="0"/>
              <w:rPr>
                <w:sz w:val="17"/>
                <w:szCs w:val="17"/>
                <w:color w:val="auto"/>
              </w:rPr>
            </w:pPr>
          </w:p>
        </w:tc>
        <w:tc>
          <w:tcPr>
            <w:tcW w:w="10380" w:type="dxa"/>
            <w:vAlign w:val="bottom"/>
          </w:tcPr>
          <w:p>
            <w:pPr>
              <w:ind w:left="200"/>
              <w:spacing w:after="0"/>
              <w:rPr>
                <w:sz w:val="20"/>
                <w:szCs w:val="20"/>
                <w:color w:val="auto"/>
              </w:rPr>
            </w:pPr>
            <w:r>
              <w:rPr>
                <w:rFonts w:ascii="Arial" w:cs="Arial" w:eastAsia="Arial" w:hAnsi="Arial"/>
                <w:sz w:val="16"/>
                <w:szCs w:val="16"/>
                <w:color w:val="auto"/>
              </w:rPr>
              <w:t>Act of 2002</w:t>
            </w:r>
          </w:p>
        </w:tc>
      </w:tr>
      <w:tr>
        <w:trPr>
          <w:trHeight w:val="253"/>
        </w:trPr>
        <w:tc>
          <w:tcPr>
            <w:tcW w:w="820" w:type="dxa"/>
            <w:vAlign w:val="bottom"/>
          </w:tcPr>
          <w:p>
            <w:pPr>
              <w:spacing w:after="0"/>
              <w:rPr>
                <w:sz w:val="20"/>
                <w:szCs w:val="20"/>
                <w:color w:val="auto"/>
              </w:rPr>
            </w:pPr>
            <w:r>
              <w:rPr>
                <w:rFonts w:ascii="Arial" w:cs="Arial" w:eastAsia="Arial" w:hAnsi="Arial"/>
                <w:sz w:val="16"/>
                <w:szCs w:val="16"/>
                <w:color w:val="auto"/>
              </w:rPr>
              <w:t>31.2#</w:t>
            </w:r>
          </w:p>
        </w:tc>
        <w:tc>
          <w:tcPr>
            <w:tcW w:w="10380" w:type="dxa"/>
            <w:vAlign w:val="bottom"/>
          </w:tcPr>
          <w:p>
            <w:pPr>
              <w:ind w:left="200"/>
              <w:spacing w:after="0"/>
              <w:rPr>
                <w:sz w:val="20"/>
                <w:szCs w:val="20"/>
                <w:color w:val="auto"/>
              </w:rPr>
            </w:pPr>
            <w:r>
              <w:rPr>
                <w:rFonts w:ascii="Arial" w:cs="Arial" w:eastAsia="Arial" w:hAnsi="Arial"/>
                <w:sz w:val="16"/>
                <w:szCs w:val="16"/>
                <w:color w:val="auto"/>
                <w:w w:val="92"/>
              </w:rPr>
              <w:t>Certification of Chief Financial Officer pursuant to Exchange Act Rules 13a-14(a) and 15d-14(a), as adopted pursuant to Section 302 of the Sarbanes-Oxley</w:t>
            </w:r>
          </w:p>
        </w:tc>
      </w:tr>
      <w:tr>
        <w:trPr>
          <w:trHeight w:val="206"/>
        </w:trPr>
        <w:tc>
          <w:tcPr>
            <w:tcW w:w="820" w:type="dxa"/>
            <w:vAlign w:val="bottom"/>
          </w:tcPr>
          <w:p>
            <w:pPr>
              <w:spacing w:after="0"/>
              <w:rPr>
                <w:sz w:val="17"/>
                <w:szCs w:val="17"/>
                <w:color w:val="auto"/>
              </w:rPr>
            </w:pPr>
          </w:p>
        </w:tc>
        <w:tc>
          <w:tcPr>
            <w:tcW w:w="10380" w:type="dxa"/>
            <w:vAlign w:val="bottom"/>
          </w:tcPr>
          <w:p>
            <w:pPr>
              <w:ind w:left="200"/>
              <w:spacing w:after="0"/>
              <w:rPr>
                <w:sz w:val="20"/>
                <w:szCs w:val="20"/>
                <w:color w:val="auto"/>
              </w:rPr>
            </w:pPr>
            <w:r>
              <w:rPr>
                <w:rFonts w:ascii="Arial" w:cs="Arial" w:eastAsia="Arial" w:hAnsi="Arial"/>
                <w:sz w:val="16"/>
                <w:szCs w:val="16"/>
                <w:color w:val="auto"/>
              </w:rPr>
              <w:t>Act of 2002</w:t>
            </w:r>
          </w:p>
        </w:tc>
      </w:tr>
      <w:tr>
        <w:trPr>
          <w:trHeight w:val="253"/>
        </w:trPr>
        <w:tc>
          <w:tcPr>
            <w:tcW w:w="820" w:type="dxa"/>
            <w:vAlign w:val="bottom"/>
          </w:tcPr>
          <w:p>
            <w:pPr>
              <w:spacing w:after="0"/>
              <w:rPr>
                <w:sz w:val="20"/>
                <w:szCs w:val="20"/>
                <w:color w:val="auto"/>
              </w:rPr>
            </w:pPr>
            <w:r>
              <w:rPr>
                <w:rFonts w:ascii="Arial" w:cs="Arial" w:eastAsia="Arial" w:hAnsi="Arial"/>
                <w:sz w:val="16"/>
                <w:szCs w:val="16"/>
                <w:color w:val="auto"/>
              </w:rPr>
              <w:t>32#</w:t>
            </w:r>
          </w:p>
        </w:tc>
        <w:tc>
          <w:tcPr>
            <w:tcW w:w="10380" w:type="dxa"/>
            <w:vAlign w:val="bottom"/>
          </w:tcPr>
          <w:p>
            <w:pPr>
              <w:ind w:left="200"/>
              <w:spacing w:after="0"/>
              <w:rPr>
                <w:sz w:val="20"/>
                <w:szCs w:val="20"/>
                <w:color w:val="auto"/>
              </w:rPr>
            </w:pPr>
            <w:r>
              <w:rPr>
                <w:rFonts w:ascii="Arial" w:cs="Arial" w:eastAsia="Arial" w:hAnsi="Arial"/>
                <w:sz w:val="16"/>
                <w:szCs w:val="16"/>
                <w:color w:val="auto"/>
                <w:w w:val="92"/>
              </w:rPr>
              <w:t>Certification of Chief Executive Officer and Chief Financial Officer pursuant to 18 U.S.C. Section 1350, as adopted pursuant to Section 906 of the Sarbanes-</w:t>
            </w:r>
          </w:p>
        </w:tc>
      </w:tr>
      <w:tr>
        <w:trPr>
          <w:trHeight w:val="206"/>
        </w:trPr>
        <w:tc>
          <w:tcPr>
            <w:tcW w:w="820" w:type="dxa"/>
            <w:vAlign w:val="bottom"/>
          </w:tcPr>
          <w:p>
            <w:pPr>
              <w:spacing w:after="0"/>
              <w:rPr>
                <w:sz w:val="17"/>
                <w:szCs w:val="17"/>
                <w:color w:val="auto"/>
              </w:rPr>
            </w:pPr>
          </w:p>
        </w:tc>
        <w:tc>
          <w:tcPr>
            <w:tcW w:w="10380" w:type="dxa"/>
            <w:vAlign w:val="bottom"/>
          </w:tcPr>
          <w:p>
            <w:pPr>
              <w:ind w:left="200"/>
              <w:spacing w:after="0"/>
              <w:rPr>
                <w:sz w:val="20"/>
                <w:szCs w:val="20"/>
                <w:color w:val="auto"/>
              </w:rPr>
            </w:pPr>
            <w:r>
              <w:rPr>
                <w:rFonts w:ascii="Arial" w:cs="Arial" w:eastAsia="Arial" w:hAnsi="Arial"/>
                <w:sz w:val="16"/>
                <w:szCs w:val="16"/>
                <w:color w:val="auto"/>
              </w:rPr>
              <w:t>Oxley Act of 2002</w:t>
            </w:r>
          </w:p>
        </w:tc>
      </w:tr>
      <w:tr>
        <w:trPr>
          <w:trHeight w:val="257"/>
        </w:trPr>
        <w:tc>
          <w:tcPr>
            <w:tcW w:w="820" w:type="dxa"/>
            <w:vAlign w:val="bottom"/>
          </w:tcPr>
          <w:p>
            <w:pPr>
              <w:spacing w:after="0"/>
              <w:rPr>
                <w:sz w:val="20"/>
                <w:szCs w:val="20"/>
                <w:color w:val="auto"/>
              </w:rPr>
            </w:pPr>
            <w:r>
              <w:rPr>
                <w:rFonts w:ascii="Arial" w:cs="Arial" w:eastAsia="Arial" w:hAnsi="Arial"/>
                <w:sz w:val="16"/>
                <w:szCs w:val="16"/>
                <w:color w:val="auto"/>
              </w:rPr>
              <w:t>101.INS</w:t>
            </w:r>
          </w:p>
        </w:tc>
        <w:tc>
          <w:tcPr>
            <w:tcW w:w="10380" w:type="dxa"/>
            <w:vAlign w:val="bottom"/>
          </w:tcPr>
          <w:p>
            <w:pPr>
              <w:ind w:left="200"/>
              <w:spacing w:after="0"/>
              <w:rPr>
                <w:sz w:val="20"/>
                <w:szCs w:val="20"/>
                <w:color w:val="auto"/>
              </w:rPr>
            </w:pPr>
            <w:r>
              <w:rPr>
                <w:rFonts w:ascii="Arial" w:cs="Arial" w:eastAsia="Arial" w:hAnsi="Arial"/>
                <w:sz w:val="16"/>
                <w:szCs w:val="16"/>
                <w:color w:val="auto"/>
              </w:rPr>
              <w:t>XBRL Instance Document</w:t>
            </w:r>
          </w:p>
        </w:tc>
      </w:tr>
      <w:tr>
        <w:trPr>
          <w:trHeight w:val="257"/>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10380" w:type="dxa"/>
            <w:vAlign w:val="bottom"/>
          </w:tcPr>
          <w:p>
            <w:pPr>
              <w:ind w:left="200"/>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1038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7"/>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10380" w:type="dxa"/>
            <w:vAlign w:val="bottom"/>
          </w:tcPr>
          <w:p>
            <w:pPr>
              <w:ind w:left="200"/>
              <w:spacing w:after="0"/>
              <w:rPr>
                <w:sz w:val="20"/>
                <w:szCs w:val="20"/>
                <w:color w:val="auto"/>
              </w:rPr>
            </w:pPr>
            <w:r>
              <w:rPr>
                <w:rFonts w:ascii="Arial" w:cs="Arial" w:eastAsia="Arial" w:hAnsi="Arial"/>
                <w:sz w:val="16"/>
                <w:szCs w:val="16"/>
                <w:color w:val="auto"/>
              </w:rPr>
              <w:t>XBRL Taxonomy Extension Definition Linkbase Document</w:t>
            </w:r>
          </w:p>
        </w:tc>
      </w:tr>
      <w:tr>
        <w:trPr>
          <w:trHeight w:val="257"/>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10380" w:type="dxa"/>
            <w:vAlign w:val="bottom"/>
          </w:tcPr>
          <w:p>
            <w:pPr>
              <w:ind w:left="200"/>
              <w:spacing w:after="0"/>
              <w:rPr>
                <w:sz w:val="20"/>
                <w:szCs w:val="20"/>
                <w:color w:val="auto"/>
              </w:rPr>
            </w:pPr>
            <w:r>
              <w:rPr>
                <w:rFonts w:ascii="Arial" w:cs="Arial" w:eastAsia="Arial" w:hAnsi="Arial"/>
                <w:sz w:val="16"/>
                <w:szCs w:val="16"/>
                <w:color w:val="auto"/>
              </w:rPr>
              <w:t>XBRL Taxonomy Extension Label Linkbase Document</w:t>
            </w:r>
          </w:p>
        </w:tc>
      </w:tr>
      <w:tr>
        <w:trPr>
          <w:trHeight w:val="257"/>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1038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______________________________________</w:t>
      </w:r>
    </w:p>
    <w:p>
      <w:pPr>
        <w:spacing w:after="0" w:line="117" w:lineRule="exact"/>
        <w:rPr>
          <w:sz w:val="20"/>
          <w:szCs w:val="20"/>
          <w:color w:val="auto"/>
        </w:rPr>
      </w:pPr>
    </w:p>
    <w:p>
      <w:pPr>
        <w:ind w:left="380"/>
        <w:spacing w:after="0"/>
        <w:tabs>
          <w:tab w:leader="none" w:pos="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Management contract or compensatory plan or arrangement.</w:t>
      </w:r>
    </w:p>
    <w:p>
      <w:pPr>
        <w:sectPr>
          <w:pgSz w:w="11900" w:h="16838" w:orient="portrait"/>
          <w:cols w:equalWidth="0" w:num="1">
            <w:col w:w="11200"/>
          </w:cols>
          <w:pgMar w:left="280" w:top="125" w:right="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LEASE MODIFICATION AGREEMENT</w:t>
      </w:r>
    </w:p>
    <w:p>
      <w:pPr>
        <w:spacing w:after="0" w:line="22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(“Agreement”) made as of this 19th day of July, 2016 between ESRT EMPIRE STATE BUILDING, L.L.C.,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with an office c/o Empire State Realty Trust, Inc., One Grand Central Place, 60 East 42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 New York, New York 10165 (hereinafter called “Landlord”), and SHUTTERSTOCK, INC., a Delaware corporation with an office at 350 Fifth Avenue,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Floor, New York, New York 10118 (hereinafter called “Tenant”).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Landlord is successor-in-interest to Empire State Building Company L.L.C., the original landlord, and Tenant is the tenant, under that</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lease (the “Original Lease”), dated as of March 21, 2013, covering certain space (the “Original Demised Premises”) consisting of a portion of the 20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and the entire rentable area of the 21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floor of the building (“Building”) known as the Empire State Building, 350 Fifth Avenue, New York, New York (which Original Lease, as modified by a certain letter agreement, dated July 23, 2013, by a certain letter agreement, dated August 7, 2013, by a certain First Lease Modification Agreement, dated as of August 31, 2015 (the “First Modification”), and by a certain Second Lease Modification and Extension Agreement, dated as of January 21, 2016 (the “Second Modification”), is hereinafter called the “Existing Lease”); and</w:t>
      </w:r>
    </w:p>
    <w:p>
      <w:pPr>
        <w:spacing w:after="0" w:line="19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First Modification, certain space on the 20</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of the Building, which was designated under Article 54 of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“Twentieth Floor Must Take Premises” (and is hereinafter referred to as the “First Additional Premises”), was added to the premises demised under the Lease; and</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Second Modification, the entire rentable area of the thirty-sixth (36</w:t>
      </w:r>
      <w:r>
        <w:rPr>
          <w:rFonts w:ascii="Arial" w:cs="Arial" w:eastAsia="Arial" w:hAnsi="Arial"/>
          <w:sz w:val="24"/>
          <w:szCs w:val="24"/>
          <w:color w:val="auto"/>
          <w:vertAlign w:val="superscript"/>
        </w:rPr>
        <w:t>th</w:t>
      </w:r>
      <w:r>
        <w:rPr>
          <w:rFonts w:ascii="Arial" w:cs="Arial" w:eastAsia="Arial" w:hAnsi="Arial"/>
          <w:sz w:val="17"/>
          <w:szCs w:val="17"/>
          <w:color w:val="auto"/>
        </w:rPr>
        <w:t>) floor of the Building (the “Second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was added to the premises demised under the Lease, so that, as of the date hereof, the premises demised under the Lease consists of the Original Demised Premises, the First Additional Premises, and the Second Additional Premises (collectively, the “Demised Premises”); and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wish to further modify the Lease in accordance with the terms and conditions hereinafter set forth.</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for other good and valuable consideration,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Landlord and Tenant hereby agree as follows:</w:t>
      </w:r>
    </w:p>
    <w:p>
      <w:pPr>
        <w:spacing w:after="0" w:line="166" w:lineRule="exact"/>
        <w:rPr>
          <w:sz w:val="20"/>
          <w:szCs w:val="20"/>
          <w:color w:val="auto"/>
        </w:rPr>
      </w:pPr>
    </w:p>
    <w:p>
      <w:pPr>
        <w:ind w:firstLine="656"/>
        <w:spacing w:after="0" w:line="277" w:lineRule="auto"/>
        <w:tabs>
          <w:tab w:leader="none" w:pos="100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Capitalized Terms, Etc</w:t>
      </w:r>
      <w:r>
        <w:rPr>
          <w:rFonts w:ascii="Arial" w:cs="Arial" w:eastAsia="Arial" w:hAnsi="Arial"/>
          <w:sz w:val="18"/>
          <w:szCs w:val="18"/>
          <w:color w:val="auto"/>
        </w:rPr>
        <w:t>. Capitalized terms not defined herein shall have the meanings ascribed to such terms under the Lease. The Existing Lease, as modified by this Agreement, is hereinafter called the “Lease”.</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Elevator Work.</w:t>
      </w:r>
    </w:p>
    <w:p>
      <w:pPr>
        <w:spacing w:after="0" w:line="225" w:lineRule="exact"/>
        <w:rPr>
          <w:rFonts w:ascii="Arial" w:cs="Arial" w:eastAsia="Arial" w:hAnsi="Arial"/>
          <w:sz w:val="18"/>
          <w:szCs w:val="18"/>
          <w:color w:val="auto"/>
        </w:rPr>
      </w:pPr>
    </w:p>
    <w:p>
      <w:pPr>
        <w:jc w:val="both"/>
        <w:ind w:firstLine="1297"/>
        <w:spacing w:after="0" w:line="256" w:lineRule="auto"/>
        <w:rPr>
          <w:rFonts w:ascii="Arial" w:cs="Arial" w:eastAsia="Arial" w:hAnsi="Arial"/>
          <w:sz w:val="18"/>
          <w:szCs w:val="18"/>
          <w:color w:val="auto"/>
        </w:rPr>
      </w:pPr>
      <w:r>
        <w:rPr>
          <w:rFonts w:ascii="Arial" w:cs="Arial" w:eastAsia="Arial" w:hAnsi="Arial"/>
          <w:sz w:val="16"/>
          <w:szCs w:val="16"/>
          <w:color w:val="auto"/>
        </w:rPr>
        <w:t>A. (i) Landlord shall, at Tenant’s sole cost and expense, perform all work (the “D Bank Elevator Work”) necessary to modify elevator cabs 1, 2, 6 and 7 in the D elevator bank of the Building (the “Modified D Bank Cabs”), so that the Modified D Bank Cabs shall operate to provide service between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floor of the Building and the 36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of the Building; it being understood and agreed, however, that the Modified D Bank Cabs shall also continue to provide normal elevator service to all floors in the D elevator bank of the Building (i.e., to the 24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through the 41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floor). Landlord shall perform the D Bank Elevator Work as promptly as is reasonably practicable following the execution and delivery of this Agreement, and shall use commercially reasonable efforts to commence such work no later than July, 2016 and to substantially complete it by no later than December, 2016 (subject to delays caused by any act or omission (where there is a duty to act) of Tenant, its agents, contractors or employees or any of the causes set forth in Article 21A of the Lease); it being understood and agreed, however, that the completion of the D Bank Elevator Work shall not be a condition precedent to the occurrence of any of the Part A SAP Commencement Date, the Part B SAP Commencement Date, the Part A SAP Rent Commencement Date, or the Part B Rent SAP Commencement Date, and any delay in the completion of the Elevator Work shall not give rise to any rent credit or</w:t>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deduction right on the part of Tenant. Landlord shall perform the D Bank Elevator Work in a good and workmanlike manner, and in compliance with all applicable laws, rules, codes and regulations. Landlord shall provide Tenant with a schedule for the performance of the D Bank Elevator Work, including dates, within ten (10) days after the execution and delivery of this Agreement.</w:t>
      </w:r>
    </w:p>
    <w:p>
      <w:pPr>
        <w:spacing w:after="0" w:line="181" w:lineRule="exact"/>
        <w:rPr>
          <w:sz w:val="20"/>
          <w:szCs w:val="20"/>
          <w:color w:val="auto"/>
        </w:rPr>
      </w:pPr>
    </w:p>
    <w:p>
      <w:pPr>
        <w:jc w:val="both"/>
        <w:ind w:firstLine="1953"/>
        <w:spacing w:after="0" w:line="277" w:lineRule="auto"/>
        <w:tabs>
          <w:tab w:leader="none" w:pos="2488" w:val="left"/>
        </w:tabs>
        <w:numPr>
          <w:ilvl w:val="2"/>
          <w:numId w:val="8"/>
        </w:numPr>
        <w:rPr>
          <w:rFonts w:ascii="Arial" w:cs="Arial" w:eastAsia="Arial" w:hAnsi="Arial"/>
          <w:sz w:val="16"/>
          <w:szCs w:val="16"/>
          <w:color w:val="auto"/>
        </w:rPr>
      </w:pPr>
      <w:r>
        <w:rPr>
          <w:rFonts w:ascii="Arial" w:cs="Arial" w:eastAsia="Arial" w:hAnsi="Arial"/>
          <w:sz w:val="16"/>
          <w:szCs w:val="16"/>
          <w:color w:val="auto"/>
        </w:rPr>
        <w:t>Tenant shall provide Landlord and its contractors with such access to the Demised Premises as Landlord may deem reasonably necessary for the performance of the D Bank Elevator Work, which shall include, without limitation, access to the work space on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floor which is shown on Exhibit A attached hereto and made a part hereof, and to the route from the freight elevators on such floor to such work space, also as shown on said Exhibit A (such work space and such route to the work space being hereinafter referred to as the “Work Area”). Tenant shall remove all storage racks and other personal property from the Work Area, promptly after the execution and delivery of this Agreement (it being understood and agreed that Landlord shall have no obligation to commence the D Bank Elevator Work unless and until Tenant removes such property from the Work Area). Landlord may also use the Work Area for the storage of materials and equipment associated with the performance of the D Bank Elevator Work, at all times while such work is being performed. Notwithstanding the foregoing, Landlord shall use reasonable efforts to minimize any interference with Tenant’s business operations in the Demised Premises as a result of the performance of the D Bank Elevator Work. The parties acknowledge and agree that, unless Tenant otherwise requests, the D Bank Elevator Work shall be performed on an after-hours basis (i.e., outside of Business Hours).</w:t>
      </w:r>
    </w:p>
    <w:p>
      <w:pPr>
        <w:spacing w:after="0" w:line="173" w:lineRule="exact"/>
        <w:rPr>
          <w:rFonts w:ascii="Arial" w:cs="Arial" w:eastAsia="Arial" w:hAnsi="Arial"/>
          <w:sz w:val="16"/>
          <w:szCs w:val="16"/>
          <w:color w:val="auto"/>
        </w:rPr>
      </w:pPr>
    </w:p>
    <w:p>
      <w:pPr>
        <w:ind w:firstLine="1953"/>
        <w:spacing w:after="0" w:line="342" w:lineRule="auto"/>
        <w:tabs>
          <w:tab w:leader="none" w:pos="2439" w:val="left"/>
        </w:tabs>
        <w:numPr>
          <w:ilvl w:val="2"/>
          <w:numId w:val="8"/>
        </w:numPr>
        <w:rPr>
          <w:rFonts w:ascii="Arial" w:cs="Arial" w:eastAsia="Arial" w:hAnsi="Arial"/>
          <w:sz w:val="16"/>
          <w:szCs w:val="16"/>
          <w:color w:val="auto"/>
        </w:rPr>
      </w:pPr>
      <w:r>
        <w:rPr>
          <w:rFonts w:ascii="Arial" w:cs="Arial" w:eastAsia="Arial" w:hAnsi="Arial"/>
          <w:sz w:val="16"/>
          <w:szCs w:val="16"/>
          <w:color w:val="auto"/>
        </w:rPr>
        <w:t>Promptly after the execution and delivery of this Agreement, Landlord shall provide Tenant with a color chart, and within five (5) Business Days after Tenant’s receipt of such color chart, Tenant shall select the color of the doors to the Modified D Bank Cabs and the sill heights.</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2426" w:val="left"/>
        </w:tabs>
        <w:numPr>
          <w:ilvl w:val="2"/>
          <w:numId w:val="8"/>
        </w:numPr>
        <w:rPr>
          <w:rFonts w:ascii="Arial" w:cs="Arial" w:eastAsia="Arial" w:hAnsi="Arial"/>
          <w:sz w:val="18"/>
          <w:szCs w:val="18"/>
          <w:color w:val="auto"/>
        </w:rPr>
      </w:pPr>
      <w:r>
        <w:rPr>
          <w:rFonts w:ascii="Arial" w:cs="Arial" w:eastAsia="Arial" w:hAnsi="Arial"/>
          <w:sz w:val="18"/>
          <w:szCs w:val="18"/>
          <w:color w:val="auto"/>
        </w:rPr>
        <w:t>Landlord agrees that, during the performance of the D Bank Elevator Work, upon Tenant’s request, Landlord shall provide Tenant and its contractors and consultants, as Tenant’s requests, with progress reports regarding the D Bank Elevator Work, and shall advise Tenant of any anticipated or actual delays with respect to such work.</w:t>
      </w:r>
    </w:p>
    <w:p>
      <w:pPr>
        <w:spacing w:after="0" w:line="181" w:lineRule="exact"/>
        <w:rPr>
          <w:rFonts w:ascii="Arial" w:cs="Arial" w:eastAsia="Arial" w:hAnsi="Arial"/>
          <w:sz w:val="18"/>
          <w:szCs w:val="18"/>
          <w:color w:val="auto"/>
        </w:rPr>
      </w:pPr>
    </w:p>
    <w:p>
      <w:pPr>
        <w:jc w:val="both"/>
        <w:ind w:firstLine="1953"/>
        <w:spacing w:after="0" w:line="270" w:lineRule="auto"/>
        <w:tabs>
          <w:tab w:leader="none" w:pos="2360" w:val="left"/>
        </w:tabs>
        <w:numPr>
          <w:ilvl w:val="2"/>
          <w:numId w:val="8"/>
        </w:numPr>
        <w:rPr>
          <w:rFonts w:ascii="Arial" w:cs="Arial" w:eastAsia="Arial" w:hAnsi="Arial"/>
          <w:sz w:val="17"/>
          <w:szCs w:val="17"/>
          <w:color w:val="auto"/>
        </w:rPr>
      </w:pPr>
      <w:r>
        <w:rPr>
          <w:rFonts w:ascii="Arial" w:cs="Arial" w:eastAsia="Arial" w:hAnsi="Arial"/>
          <w:sz w:val="17"/>
          <w:szCs w:val="17"/>
          <w:color w:val="auto"/>
        </w:rPr>
        <w:t>Tenant shall reimburse Landlord for any and all actual out-of-pocket costs and expenses incurred by Landlord in connection with the D Bank Elevator Work, including, without limitation, all architectural and engineering fees and permitting costs (collectively, the “D Bank Elevator Work Costs”). Tenant shall reimburse Landlord for the D Bank Elevator Work Costs, which Landlord reasonably and in good faith estimates to be $475,371.00 (based on the proposals and other backup documentation attached hereto and made a part hereof as Exhibit B), as additional rent under the Lease, as follows: (a) Tenant shall pay Landlord an amount equal to fifty percent (50%) of Landlord’s reasonable good faith estimate of the D Bank Elevator Work Costs, in the amount of $237,685.50, simultaneously with the execution and delivery of this Agreement by Tenant; and (ii) Tenant shall pay Landlord the difference between such initial payment and the actual D Bank Elevator Work Costs, within ten (10) days after the presentation to Tenant of a reasonably detailed invoice showing the total D Bank Elevator Work Costs. Tenant’s obligation to reimburse Landlord for the D Bank Elevator Work shall survive the expiration or sooner termination of the term of the Lease.</w:t>
      </w:r>
    </w:p>
    <w:p>
      <w:pPr>
        <w:spacing w:after="0" w:line="181" w:lineRule="exact"/>
        <w:rPr>
          <w:rFonts w:ascii="Arial" w:cs="Arial" w:eastAsia="Arial" w:hAnsi="Arial"/>
          <w:sz w:val="17"/>
          <w:szCs w:val="17"/>
          <w:color w:val="auto"/>
        </w:rPr>
      </w:pPr>
    </w:p>
    <w:p>
      <w:pPr>
        <w:jc w:val="both"/>
        <w:ind w:firstLine="1953"/>
        <w:spacing w:after="0" w:line="232" w:lineRule="auto"/>
        <w:tabs>
          <w:tab w:leader="none" w:pos="2416" w:val="left"/>
        </w:tabs>
        <w:numPr>
          <w:ilvl w:val="2"/>
          <w:numId w:val="8"/>
        </w:numPr>
        <w:rPr>
          <w:rFonts w:ascii="Arial" w:cs="Arial" w:eastAsia="Arial" w:hAnsi="Arial"/>
          <w:sz w:val="18"/>
          <w:szCs w:val="18"/>
          <w:color w:val="auto"/>
        </w:rPr>
      </w:pPr>
      <w:r>
        <w:rPr>
          <w:rFonts w:ascii="Arial" w:cs="Arial" w:eastAsia="Arial" w:hAnsi="Arial"/>
          <w:sz w:val="18"/>
          <w:szCs w:val="18"/>
          <w:color w:val="auto"/>
        </w:rPr>
        <w:t>It is acknowledged and agreed that Tenant shall be solely responsible for any and all work necessary to restore the elevator lobby on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floor upon completion of the D Bank Elevator Work, including, without limitation, any necessary patching and painting or other restoration of finishes. Promptly upon completion of the D Bank Elevator Work, Landlord shall remove all construction materials and equipment associated with the performance of such work from the Work Area.</w:t>
      </w:r>
    </w:p>
    <w:p>
      <w:pPr>
        <w:spacing w:after="0" w:line="202" w:lineRule="exact"/>
        <w:rPr>
          <w:rFonts w:ascii="Arial" w:cs="Arial" w:eastAsia="Arial" w:hAnsi="Arial"/>
          <w:sz w:val="18"/>
          <w:szCs w:val="18"/>
          <w:color w:val="auto"/>
        </w:rPr>
      </w:pPr>
    </w:p>
    <w:p>
      <w:pPr>
        <w:jc w:val="both"/>
        <w:ind w:firstLine="656"/>
        <w:spacing w:after="0" w:line="226" w:lineRule="auto"/>
        <w:tabs>
          <w:tab w:leader="none" w:pos="99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Tenant shall have the non-exclusive right to utilize the Modified D Bank Cabs for transportation between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and 36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floors of the Building, in the course of Tenant’s ordinary business operations therein. All such use of the Modified D Bank Cabs shall be in compliance with the provisions of the Lease and with the Rules and Regulations of the Building, as same may be modified from time to time.</w:t>
      </w:r>
    </w:p>
    <w:p>
      <w:pPr>
        <w:spacing w:after="0" w:line="203" w:lineRule="exact"/>
        <w:rPr>
          <w:rFonts w:ascii="Arial" w:cs="Arial" w:eastAsia="Arial" w:hAnsi="Arial"/>
          <w:sz w:val="18"/>
          <w:szCs w:val="18"/>
          <w:color w:val="auto"/>
        </w:rPr>
      </w:pPr>
    </w:p>
    <w:p>
      <w:pPr>
        <w:ind w:left="20" w:firstLine="1271"/>
        <w:spacing w:after="0" w:line="277" w:lineRule="auto"/>
        <w:tabs>
          <w:tab w:leader="none" w:pos="1653" w:val="left"/>
        </w:tabs>
        <w:numPr>
          <w:ilvl w:val="1"/>
          <w:numId w:val="9"/>
        </w:numPr>
        <w:rPr>
          <w:rFonts w:ascii="Arial" w:cs="Arial" w:eastAsia="Arial" w:hAnsi="Arial"/>
          <w:sz w:val="18"/>
          <w:szCs w:val="18"/>
          <w:color w:val="auto"/>
        </w:rPr>
      </w:pPr>
      <w:r>
        <w:rPr>
          <w:rFonts w:ascii="Arial" w:cs="Arial" w:eastAsia="Arial" w:hAnsi="Arial"/>
          <w:sz w:val="18"/>
          <w:szCs w:val="18"/>
          <w:color w:val="auto"/>
        </w:rPr>
        <w:t>It is understood and agreed that such right of Tenant to use the Modified D Bank Cabs shall be personal to the named tenant under the Lease (i.e., Shutterstock, Inc.), and to any Affiliate of, or Successor Entity</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7"/>
          <w:szCs w:val="17"/>
          <w:color w:val="auto"/>
        </w:rPr>
        <w:t>to, such named tenant, so that if such named tenant, Affiliate or Successor Entity is no longer the tenant under the Lease and/or is no longer in occupancy of the entire Demised Premises, then Landlord shall have the right (but not the obligation), at Tenant’s expense, to perform such work (the “D Bank Cab Restoration Work”) as is necessary to restore the Modified D Bank Cabs to the condition (and function) existing prior to the performance of the D Bank Elevator Work (ordinary wear and tear and damage by fire or other casualty excepted). The costs of the D Bank Cab Restoration Work shall be deemed additional rent under the Lease, and shall be due to Landlord within thirty (30) days after the presentation to Tenant of a reasonably detailed invoice therefor. It is understood and agreed that Landlord shall also have the right (but not the obligation), at Tenant’s expense, to perform the D Bank Cab Restoration Work upon the expiration or sooner termination of the term of the Lease. Tenant’s obligation to reimburse Landlord for the D Bank Cab Restoration Work (whenever it is performed) shall survive the expiration or sooner termination of this Lease.</w:t>
      </w:r>
    </w:p>
    <w:p>
      <w:pPr>
        <w:spacing w:after="0" w:line="179" w:lineRule="exact"/>
        <w:rPr>
          <w:sz w:val="20"/>
          <w:szCs w:val="20"/>
          <w:color w:val="auto"/>
        </w:rPr>
      </w:pPr>
    </w:p>
    <w:p>
      <w:pPr>
        <w:ind w:left="960" w:hanging="3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Brokerage</w:t>
      </w:r>
      <w:r>
        <w:rPr>
          <w:rFonts w:ascii="Arial" w:cs="Arial" w:eastAsia="Arial" w:hAnsi="Arial"/>
          <w:sz w:val="18"/>
          <w:szCs w:val="18"/>
          <w:color w:val="auto"/>
        </w:rPr>
        <w:t>.</w:t>
      </w:r>
    </w:p>
    <w:p>
      <w:pPr>
        <w:spacing w:after="0" w:line="225" w:lineRule="exact"/>
        <w:rPr>
          <w:sz w:val="20"/>
          <w:szCs w:val="20"/>
          <w:color w:val="auto"/>
        </w:rPr>
      </w:pPr>
    </w:p>
    <w:p>
      <w:pPr>
        <w:jc w:val="both"/>
        <w:ind w:left="-20" w:firstLine="656"/>
        <w:spacing w:after="0" w:line="264" w:lineRule="auto"/>
        <w:tabs>
          <w:tab w:leader="none" w:pos="10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Tenant represents and warrants that it neither consulted nor negotiated with any broker or finder with regard to this Agreement. Tenant shall indemnify, defend and save Landlord harmless from and against any claims for fees or commissions from anyone with whom Tenant has dealt in connection with this Agreement.</w:t>
      </w:r>
    </w:p>
    <w:p>
      <w:pPr>
        <w:spacing w:after="0" w:line="181" w:lineRule="exact"/>
        <w:rPr>
          <w:rFonts w:ascii="Arial" w:cs="Arial" w:eastAsia="Arial" w:hAnsi="Arial"/>
          <w:sz w:val="18"/>
          <w:szCs w:val="18"/>
          <w:color w:val="auto"/>
        </w:rPr>
      </w:pPr>
    </w:p>
    <w:p>
      <w:pPr>
        <w:jc w:val="both"/>
        <w:ind w:left="-20" w:firstLine="656"/>
        <w:spacing w:after="0" w:line="264" w:lineRule="auto"/>
        <w:tabs>
          <w:tab w:leader="none" w:pos="9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Landlord represents and warrants that it neither consulted nor negotiated with any broker or finder with regard to this Agreement. Landlord shall indemnify, defend and save Tenant harmless from and against any claims for fees or commissions from anyone with whom Landlord has dealt in connection with this Agreement.</w:t>
      </w:r>
    </w:p>
    <w:p>
      <w:pPr>
        <w:spacing w:after="0" w:line="181" w:lineRule="exact"/>
        <w:rPr>
          <w:sz w:val="20"/>
          <w:szCs w:val="20"/>
          <w:color w:val="auto"/>
        </w:rPr>
      </w:pPr>
    </w:p>
    <w:p>
      <w:pPr>
        <w:ind w:left="960" w:hanging="3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305"/>
        <w:spacing w:after="0" w:line="27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Except as hereinabove set forth, the Demised Premises shall continue to be leased to Tenant pursuant to all of the terms, covenants and conditions of the Lease.</w:t>
      </w:r>
    </w:p>
    <w:p>
      <w:pPr>
        <w:spacing w:after="0" w:line="170" w:lineRule="exact"/>
        <w:rPr>
          <w:rFonts w:ascii="Arial" w:cs="Arial" w:eastAsia="Arial" w:hAnsi="Arial"/>
          <w:sz w:val="18"/>
          <w:szCs w:val="18"/>
          <w:color w:val="auto"/>
        </w:rPr>
      </w:pPr>
    </w:p>
    <w:p>
      <w:pPr>
        <w:ind w:left="-20" w:firstLine="1305"/>
        <w:spacing w:after="0" w:line="277" w:lineRule="auto"/>
        <w:tabs>
          <w:tab w:leader="none" w:pos="1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This Agreement shall not in any way bind Landlord until such time as it has been executed by Landlord and Tenant, and a fully executed counterpart has been delivered to Tenant.</w:t>
      </w:r>
    </w:p>
    <w:p>
      <w:pPr>
        <w:spacing w:after="0" w:line="170" w:lineRule="exact"/>
        <w:rPr>
          <w:rFonts w:ascii="Arial" w:cs="Arial" w:eastAsia="Arial" w:hAnsi="Arial"/>
          <w:sz w:val="18"/>
          <w:szCs w:val="18"/>
          <w:color w:val="auto"/>
        </w:rPr>
      </w:pPr>
    </w:p>
    <w:p>
      <w:pPr>
        <w:ind w:left="-20" w:firstLine="1305"/>
        <w:spacing w:after="0" w:line="277" w:lineRule="auto"/>
        <w:tabs>
          <w:tab w:leader="none" w:pos="1643"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Except as herein modified, all of the terms, covenants and conditions of the Lease are and shall remain in full force and effect and are hereby ratified and confirmed.</w:t>
      </w:r>
    </w:p>
    <w:p>
      <w:pPr>
        <w:spacing w:after="0" w:line="170" w:lineRule="exact"/>
        <w:rPr>
          <w:rFonts w:ascii="Arial" w:cs="Arial" w:eastAsia="Arial" w:hAnsi="Arial"/>
          <w:sz w:val="18"/>
          <w:szCs w:val="18"/>
          <w:color w:val="auto"/>
        </w:rPr>
      </w:pPr>
    </w:p>
    <w:p>
      <w:pPr>
        <w:ind w:left="-20" w:right="20" w:firstLine="1305"/>
        <w:spacing w:after="0" w:line="277" w:lineRule="auto"/>
        <w:tabs>
          <w:tab w:leader="none" w:pos="169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This Agreement shall be binding upon and shall inure to the benefit of the parties hereto and their respective legal representatives, successors and permitted assigns.</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63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Tenant hereby represents that Landlord is in full compliance with all of the terms, covenants and conditions of the Lease and is not in default beyond any applicable grace period with respect to any of its respective obligations under the Lease, and there exists no defense or counterclaim to the payment of rent pursuant thereto.</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6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This Agreement may be executed in two or more counterparts, and all counterparts so executed shall, for all purposes, constitute one agreement binding on all of the parties hereto, notwithstanding that all parties shall not have executed the same counterparts. Facsimile, digital and photocopy signatures on this Agreement shall have the same force and effect as originals.</w:t>
      </w:r>
    </w:p>
    <w:p>
      <w:pPr>
        <w:sectPr>
          <w:pgSz w:w="11900" w:h="16838" w:orient="portrait"/>
          <w:cols w:equalWidth="0" w:num="1">
            <w:col w:w="11400"/>
          </w:cols>
          <w:pgMar w:left="26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as of the day and year first above written.</w:t>
      </w:r>
    </w:p>
    <w:p>
      <w:pPr>
        <w:sectPr>
          <w:pgSz w:w="11900" w:h="16838" w:orient="portrait"/>
          <w:cols w:equalWidth="0" w:num="1">
            <w:col w:w="9559"/>
          </w:cols>
          <w:pgMar w:left="900" w:top="580" w:right="1440"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LANDLORD:</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ESRT EMPIRE STATE BUILDING, L.L.C., Landlord</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Empire State Building Parent, L.L.C., its sole member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ESRT Empire State Building G-Parent,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its sole member</w:t>
      </w:r>
    </w:p>
    <w:p>
      <w:pPr>
        <w:spacing w:after="0" w:line="9" w:lineRule="exact"/>
        <w:rPr>
          <w:sz w:val="20"/>
          <w:szCs w:val="20"/>
          <w:color w:val="auto"/>
        </w:rPr>
      </w:pPr>
    </w:p>
    <w:p>
      <w:pPr>
        <w:ind w:left="3240"/>
        <w:spacing w:after="0"/>
        <w:tabs>
          <w:tab w:leader="none" w:pos="6620" w:val="left"/>
        </w:tabs>
        <w:rPr>
          <w:sz w:val="20"/>
          <w:szCs w:val="20"/>
          <w:color w:val="auto"/>
        </w:rPr>
      </w:pPr>
      <w:r>
        <w:rPr>
          <w:rFonts w:ascii="Arial" w:cs="Arial" w:eastAsia="Arial" w:hAnsi="Arial"/>
          <w:sz w:val="18"/>
          <w:szCs w:val="18"/>
          <w:color w:val="auto"/>
        </w:rPr>
        <w:t>By: Empire State Realty OP, L.P., as its sole</w:t>
      </w:r>
      <w:r>
        <w:rPr>
          <w:sz w:val="20"/>
          <w:szCs w:val="20"/>
          <w:color w:val="auto"/>
        </w:rPr>
        <w:tab/>
      </w:r>
      <w:r>
        <w:rPr>
          <w:rFonts w:ascii="Arial" w:cs="Arial" w:eastAsia="Arial" w:hAnsi="Arial"/>
          <w:sz w:val="16"/>
          <w:szCs w:val="16"/>
          <w:color w:val="auto"/>
        </w:rPr>
        <w:t>Member</w:t>
      </w:r>
    </w:p>
    <w:p>
      <w:pPr>
        <w:spacing w:after="0" w:line="9" w:lineRule="exact"/>
        <w:rPr>
          <w:sz w:val="20"/>
          <w:szCs w:val="20"/>
          <w:color w:val="auto"/>
        </w:rPr>
      </w:pPr>
    </w:p>
    <w:p>
      <w:pPr>
        <w:ind w:left="3240"/>
        <w:spacing w:after="0"/>
        <w:tabs>
          <w:tab w:leader="none" w:pos="7020" w:val="left"/>
        </w:tabs>
        <w:rPr>
          <w:sz w:val="20"/>
          <w:szCs w:val="20"/>
          <w:color w:val="auto"/>
        </w:rPr>
      </w:pPr>
      <w:r>
        <w:rPr>
          <w:rFonts w:ascii="Arial" w:cs="Arial" w:eastAsia="Arial" w:hAnsi="Arial"/>
          <w:sz w:val="18"/>
          <w:szCs w:val="18"/>
          <w:color w:val="auto"/>
        </w:rPr>
        <w:t>By: Empire State Realty Trust, Inc., as its general</w:t>
      </w:r>
      <w:r>
        <w:rPr>
          <w:sz w:val="20"/>
          <w:szCs w:val="20"/>
          <w:color w:val="auto"/>
        </w:rPr>
        <w:tab/>
      </w:r>
      <w:r>
        <w:rPr>
          <w:rFonts w:ascii="Arial" w:cs="Arial" w:eastAsia="Arial" w:hAnsi="Arial"/>
          <w:sz w:val="15"/>
          <w:szCs w:val="15"/>
          <w:color w:val="auto"/>
        </w:rPr>
        <w:t>Partner</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P. Durels</w:t>
      </w:r>
      <w:r>
        <w:rPr>
          <w:rFonts w:ascii="Arial" w:cs="Arial" w:eastAsia="Arial" w:hAnsi="Arial"/>
          <w:sz w:val="18"/>
          <w:szCs w:val="18"/>
          <w:color w:val="auto"/>
        </w:rPr>
        <w:t>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Thomas P. Durels</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Director of Leasing and Operations</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SHUTTERSTOCK, INC.</w:t>
      </w:r>
    </w:p>
    <w:p>
      <w:pPr>
        <w:spacing w:after="0" w:line="200" w:lineRule="exact"/>
        <w:rPr>
          <w:sz w:val="20"/>
          <w:szCs w:val="20"/>
          <w:color w:val="auto"/>
        </w:rPr>
      </w:pPr>
    </w:p>
    <w:p>
      <w:pPr>
        <w:spacing w:after="0" w:line="24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Laurie Harrison________________</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Name: Laurie Harrison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VP, General Counsel &amp; Secretary</w:t>
      </w:r>
    </w:p>
    <w:p>
      <w:pPr>
        <w:sectPr>
          <w:pgSz w:w="11900" w:h="16838" w:orient="portrait"/>
          <w:cols w:equalWidth="0" w:num="1">
            <w:col w:w="9559"/>
          </w:cols>
          <w:pgMar w:left="900" w:top="580" w:right="1440" w:bottom="1440" w:gutter="0" w:footer="0" w:header="0"/>
          <w:type w:val="continuous"/>
        </w:sectPr>
      </w:pPr>
    </w:p>
    <w:bookmarkStart w:id="39" w:name="page40"/>
    <w:bookmarkEnd w:id="39"/>
    <w:p>
      <w:pPr>
        <w:jc w:val="center"/>
        <w:ind w:right="-20"/>
        <w:spacing w:after="0"/>
        <w:rPr>
          <w:sz w:val="20"/>
          <w:szCs w:val="20"/>
          <w:color w:val="auto"/>
        </w:rPr>
      </w:pPr>
      <w:r>
        <w:rPr>
          <w:rFonts w:ascii="Arial" w:cs="Arial" w:eastAsia="Arial" w:hAnsi="Arial"/>
          <w:sz w:val="22"/>
          <w:szCs w:val="22"/>
          <w:color w:val="auto"/>
        </w:rPr>
        <w:t>EXHIBIT A</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SPACE DIAGRAM OF 21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FLOOR</w:t>
      </w:r>
    </w:p>
    <w:p>
      <w:pPr>
        <w:jc w:val="center"/>
        <w:ind w:right="-20"/>
        <w:spacing w:after="0"/>
        <w:rPr>
          <w:sz w:val="20"/>
          <w:szCs w:val="20"/>
          <w:color w:val="auto"/>
        </w:rPr>
      </w:pPr>
      <w:r>
        <w:rPr>
          <w:rFonts w:ascii="Arial" w:cs="Arial" w:eastAsia="Arial" w:hAnsi="Arial"/>
          <w:sz w:val="19"/>
          <w:szCs w:val="19"/>
          <w:color w:val="auto"/>
        </w:rPr>
        <w:t>SHOWING WORK SPACE AND ACCESS TO WORK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17780</wp:posOffset>
            </wp:positionV>
            <wp:extent cx="4639310" cy="6157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9310" cy="6157595"/>
                    </a:xfrm>
                    <a:prstGeom prst="rect">
                      <a:avLst/>
                    </a:prstGeom>
                    <a:noFill/>
                  </pic:spPr>
                </pic:pic>
              </a:graphicData>
            </a:graphic>
          </wp:anchor>
        </w:drawing>
      </w:r>
    </w:p>
    <w:p>
      <w:pPr>
        <w:sectPr>
          <w:pgSz w:w="11900" w:h="16838" w:orient="portrait"/>
          <w:cols w:equalWidth="0" w:num="1">
            <w:col w:w="9019"/>
          </w:cols>
          <w:pgMar w:left="1440" w:top="591" w:right="1440"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22"/>
          <w:szCs w:val="22"/>
          <w:color w:val="auto"/>
        </w:rPr>
        <w:t>EXHIBIT B</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BACK-UP FOR COST D BANK ELEVATOR WORK</w:t>
      </w:r>
    </w:p>
    <w:p>
      <w:pPr>
        <w:sectPr>
          <w:pgSz w:w="11900" w:h="16838" w:orient="portrait"/>
          <w:cols w:equalWidth="0" w:num="1">
            <w:col w:w="9019"/>
          </w:cols>
          <w:pgMar w:left="1440" w:top="591"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Empire State Building</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350 Fifth Avenue, 21st Floor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New York, NY 10118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Aditi Gokhale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Murray Street, Apt. 6J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20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Aditi:</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you (referred to hereinafter as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Shutterstock,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sets forth the terms and conditions that shall govern the period of your employment with the Company (referred to hereinafter as “</w:t>
      </w:r>
      <w:r>
        <w:rPr>
          <w:rFonts w:ascii="Arial" w:cs="Arial" w:eastAsia="Arial" w:hAnsi="Arial"/>
          <w:sz w:val="18"/>
          <w:szCs w:val="18"/>
          <w:b w:val="1"/>
          <w:bCs w:val="1"/>
          <w:i w:val="1"/>
          <w:iCs w:val="1"/>
          <w:color w:val="auto"/>
        </w:rPr>
        <w:t>Employment</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Employment Period</w:t>
      </w:r>
      <w:r>
        <w:rPr>
          <w:rFonts w:ascii="Arial" w:cs="Arial" w:eastAsia="Arial" w:hAnsi="Arial"/>
          <w:sz w:val="18"/>
          <w:szCs w:val="18"/>
          <w:color w:val="auto"/>
        </w:rPr>
        <w:t>”).</w:t>
      </w:r>
    </w:p>
    <w:p>
      <w:pPr>
        <w:spacing w:after="0" w:line="204" w:lineRule="exact"/>
        <w:rPr>
          <w:sz w:val="20"/>
          <w:szCs w:val="20"/>
          <w:color w:val="auto"/>
        </w:rPr>
      </w:pPr>
    </w:p>
    <w:p>
      <w:pPr>
        <w:ind w:left="1440" w:hanging="784"/>
        <w:spacing w:after="0"/>
        <w:tabs>
          <w:tab w:leader="none" w:pos="1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and Scope of Employment</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b w:val="1"/>
          <w:bCs w:val="1"/>
          <w:color w:val="auto"/>
        </w:rPr>
      </w:pPr>
    </w:p>
    <w:p>
      <w:pPr>
        <w:jc w:val="both"/>
        <w:ind w:firstLine="1305"/>
        <w:spacing w:after="0" w:line="274" w:lineRule="auto"/>
        <w:tabs>
          <w:tab w:leader="none" w:pos="1703" w:val="left"/>
        </w:tabs>
        <w:numPr>
          <w:ilvl w:val="1"/>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At-Will Employment</w:t>
      </w:r>
      <w:r>
        <w:rPr>
          <w:rFonts w:ascii="Arial" w:cs="Arial" w:eastAsia="Arial" w:hAnsi="Arial"/>
          <w:sz w:val="17"/>
          <w:szCs w:val="17"/>
          <w:color w:val="auto"/>
        </w:rPr>
        <w:t>. Executive will commence full-time Employment with the Company effective as of April 13, 2015 (the “</w:t>
      </w:r>
      <w:r>
        <w:rPr>
          <w:rFonts w:ascii="Arial" w:cs="Arial" w:eastAsia="Arial" w:hAnsi="Arial"/>
          <w:sz w:val="17"/>
          <w:szCs w:val="17"/>
          <w:b w:val="1"/>
          <w:bCs w:val="1"/>
          <w:i w:val="1"/>
          <w:iCs w:val="1"/>
          <w:color w:val="auto"/>
        </w:rPr>
        <w:t>Start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the terms of such Employment will be governed by this Agreement. Executive’s Employment with the Company is for no specified period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constitutes “at will” employment. As a result, Executive is free to terminate Employment at any time, with or without advance notice, and for any reason or for no reason. Similarly, the Company is free to terminate Executive’s Employment at any time, with or without advance notice, and with or without Cause (as defined below), subject to the terms and conditions of this Agreement. Furthermore, although the terms and conditions of Executive’s Employment with the Company may change over time, nothing shall change the at-will nature of Executive’s Employment.</w:t>
      </w:r>
    </w:p>
    <w:p>
      <w:pPr>
        <w:spacing w:after="0" w:line="173" w:lineRule="exact"/>
        <w:rPr>
          <w:rFonts w:ascii="Arial" w:cs="Arial" w:eastAsia="Arial" w:hAnsi="Arial"/>
          <w:sz w:val="17"/>
          <w:szCs w:val="17"/>
          <w:color w:val="auto"/>
        </w:rPr>
      </w:pPr>
    </w:p>
    <w:p>
      <w:pPr>
        <w:jc w:val="both"/>
        <w:ind w:right="20" w:firstLine="1305"/>
        <w:spacing w:after="0" w:line="258" w:lineRule="auto"/>
        <w:tabs>
          <w:tab w:leader="none" w:pos="1754" w:val="left"/>
        </w:tabs>
        <w:numPr>
          <w:ilvl w:val="1"/>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and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Period, the Company agrees to employ Executive in the position of Chief</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Officer. Executive will report to the Company’s Chief Executive Officer, or to such other person as the Company subsequently may in good faith determine (your “</w:t>
      </w:r>
      <w:r>
        <w:rPr>
          <w:rFonts w:ascii="Arial" w:cs="Arial" w:eastAsia="Arial" w:hAnsi="Arial"/>
          <w:sz w:val="18"/>
          <w:szCs w:val="18"/>
          <w:b w:val="1"/>
          <w:bCs w:val="1"/>
          <w:i w:val="1"/>
          <w:iCs w:val="1"/>
          <w:color w:val="auto"/>
        </w:rPr>
        <w:t>Supervisor</w:t>
      </w:r>
      <w:r>
        <w:rPr>
          <w:rFonts w:ascii="Arial" w:cs="Arial" w:eastAsia="Arial" w:hAnsi="Arial"/>
          <w:sz w:val="18"/>
          <w:szCs w:val="18"/>
          <w:color w:val="auto"/>
        </w:rPr>
        <w:t>”), and Executive will be working out of the Company’s office in New York City, New York at the address set forth above. Executive will perform the duties and have the responsibilities and authority customarily performed and held by an employee in Executive’s position or as otherwise may reasonably be assigned or delegated to Executive by your Supervisor.</w:t>
      </w:r>
    </w:p>
    <w:p>
      <w:pPr>
        <w:spacing w:after="0" w:line="183" w:lineRule="exact"/>
        <w:rPr>
          <w:rFonts w:ascii="Arial" w:cs="Arial" w:eastAsia="Arial" w:hAnsi="Arial"/>
          <w:sz w:val="18"/>
          <w:szCs w:val="18"/>
          <w:color w:val="auto"/>
        </w:rPr>
      </w:pPr>
    </w:p>
    <w:p>
      <w:pPr>
        <w:jc w:val="both"/>
        <w:ind w:firstLine="1305"/>
        <w:spacing w:after="0" w:line="271" w:lineRule="auto"/>
        <w:tabs>
          <w:tab w:leader="none" w:pos="1676" w:val="left"/>
        </w:tabs>
        <w:numPr>
          <w:ilvl w:val="1"/>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Obligations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Period, Executive shall perform Executive’s duties faithfully and to the best of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ability and will devote Executive’s full business efforts and time to the Company. During the Employment Period, without the prior written approval of your Supervisor, which approval shall not be unreasonably withheld, Executive shall not render services in any capacity to any other person or entity and shall not act as a sole proprietor or partner of any other person or entity or own more than five percent (5%) of the equity of any other entity. Notwithstanding the foregoing, Executive may serve on civic or charitable boards or committees and the board of directors of Churchill Downs Incorporated and its subsidiaries, deliver lectures, fulfill speaking engagements, teach at educational institutions, or manage personal investments without advance written consent of your Supervisor; provided that such activities do not individually or in the aggregate interfere with the performance of Executive’s duties under this Agreement or create a potential business or fiduciary conflict. Executive shall comply with the Company’s policies and rules, as they may be in effect from time to time during Executive’s Employment.</w:t>
      </w:r>
    </w:p>
    <w:p>
      <w:pPr>
        <w:spacing w:after="0" w:line="174" w:lineRule="exact"/>
        <w:rPr>
          <w:rFonts w:ascii="Arial" w:cs="Arial" w:eastAsia="Arial" w:hAnsi="Arial"/>
          <w:sz w:val="17"/>
          <w:szCs w:val="17"/>
          <w:color w:val="auto"/>
        </w:rPr>
      </w:pPr>
    </w:p>
    <w:p>
      <w:pPr>
        <w:ind w:firstLine="1305"/>
        <w:spacing w:after="0" w:line="282" w:lineRule="auto"/>
        <w:tabs>
          <w:tab w:leader="none" w:pos="1875" w:val="left"/>
        </w:tabs>
        <w:numPr>
          <w:ilvl w:val="1"/>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represents and warrants to the Company that Executive is under no obligations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whether contractual or otherwise, that are inconsistent with</w:t>
      </w:r>
    </w:p>
    <w:p>
      <w:pPr>
        <w:sectPr>
          <w:pgSz w:w="11900" w:h="16838" w:orient="portrait"/>
          <w:cols w:equalWidth="0" w:num="1">
            <w:col w:w="11420"/>
          </w:cols>
          <w:pgMar w:left="240" w:top="364"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Executive’s obligations under this Agreement. In connection with Executive’s Employment, Executive shall not use or disclose any trade secrets or other proprietary information or intellectual property in which Executive or any other person has any right, title or interest and Executive’s Employment will not infringe or violate the rights of any other person. Executive represents and warrants to the Company that Executive has returned all property and confidential information belonging to any prior employer.</w:t>
      </w:r>
    </w:p>
    <w:p>
      <w:pPr>
        <w:spacing w:after="0" w:line="18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and Incentive Compensation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1305"/>
        <w:spacing w:after="0" w:line="256" w:lineRule="auto"/>
        <w:tabs>
          <w:tab w:leader="none" w:pos="1744" w:val="left"/>
        </w:tabs>
        <w:numPr>
          <w:ilvl w:val="1"/>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Executive, as compensation for Executive’s services, a base salary at a gross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$400,000.00, less all required tax withholdings and other applicable deductions, in accordance with the Company’s standard payroll procedures. The annual compensation specified in this subsection (a), together with any modifications in such compensation that the Company may make from time to time, is referred to in this Agreement as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87" w:lineRule="exact"/>
        <w:rPr>
          <w:rFonts w:ascii="Arial" w:cs="Arial" w:eastAsia="Arial" w:hAnsi="Arial"/>
          <w:sz w:val="18"/>
          <w:szCs w:val="18"/>
          <w:color w:val="auto"/>
        </w:rPr>
      </w:pPr>
    </w:p>
    <w:p>
      <w:pPr>
        <w:jc w:val="both"/>
        <w:ind w:firstLine="1305"/>
        <w:spacing w:after="0" w:line="286" w:lineRule="auto"/>
        <w:tabs>
          <w:tab w:leader="none" w:pos="1767" w:val="left"/>
        </w:tabs>
        <w:numPr>
          <w:ilvl w:val="1"/>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Cash Incentive Bonus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will be eligible to be considered for an annual cash incentive bonus (the “</w:t>
      </w:r>
      <w:r>
        <w:rPr>
          <w:rFonts w:ascii="Arial" w:cs="Arial" w:eastAsia="Arial" w:hAnsi="Arial"/>
          <w:sz w:val="16"/>
          <w:szCs w:val="16"/>
          <w:b w:val="1"/>
          <w:bCs w:val="1"/>
          <w:i w:val="1"/>
          <w:iCs w:val="1"/>
          <w:color w:val="auto"/>
        </w:rPr>
        <w:t>Cash Bonus</w:t>
      </w:r>
      <w:r>
        <w:rPr>
          <w:rFonts w:ascii="Arial" w:cs="Arial" w:eastAsia="Arial" w:hAnsi="Arial"/>
          <w:sz w:val="16"/>
          <w:szCs w:val="16"/>
          <w:color w:val="auto"/>
        </w:rPr>
        <w:t>”) each</w:t>
      </w:r>
      <w:r>
        <w:rPr>
          <w:rFonts w:ascii="Arial" w:cs="Arial" w:eastAsia="Arial" w:hAnsi="Arial"/>
          <w:sz w:val="16"/>
          <w:szCs w:val="16"/>
          <w:b w:val="1"/>
          <w:bCs w:val="1"/>
          <w:color w:val="auto"/>
        </w:rPr>
        <w:t xml:space="preserve"> </w:t>
      </w:r>
      <w:r>
        <w:rPr>
          <w:rFonts w:ascii="Arial" w:cs="Arial" w:eastAsia="Arial" w:hAnsi="Arial"/>
          <w:sz w:val="16"/>
          <w:szCs w:val="16"/>
          <w:color w:val="auto"/>
        </w:rPr>
        <w:t>calendar year during the Employment Period based upon the achievement of certain objective or subjective criteria (collectively, the “</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In compliance with all relevant legal requirements and based on Executive’s level within the Company, the Performance Goals for Executive’s Cash Bonus for a particular year will be established by, and in the reasonable discretion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any Compensation Committee of the Board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or a delegate of either the Board or the Committee (the “</w:t>
      </w:r>
      <w:r>
        <w:rPr>
          <w:rFonts w:ascii="Arial" w:cs="Arial" w:eastAsia="Arial" w:hAnsi="Arial"/>
          <w:sz w:val="16"/>
          <w:szCs w:val="16"/>
          <w:b w:val="1"/>
          <w:bCs w:val="1"/>
          <w:i w:val="1"/>
          <w:iCs w:val="1"/>
          <w:color w:val="auto"/>
        </w:rPr>
        <w:t>Delegate</w:t>
      </w:r>
      <w:r>
        <w:rPr>
          <w:rFonts w:ascii="Arial" w:cs="Arial" w:eastAsia="Arial" w:hAnsi="Arial"/>
          <w:sz w:val="16"/>
          <w:szCs w:val="16"/>
          <w:color w:val="auto"/>
        </w:rPr>
        <w:t>”), as applicable. The target amount for any such Cash Bonus will be up to 50% of Executive’s Base Salary (the “</w:t>
      </w:r>
      <w:r>
        <w:rPr>
          <w:rFonts w:ascii="Arial" w:cs="Arial" w:eastAsia="Arial" w:hAnsi="Arial"/>
          <w:sz w:val="16"/>
          <w:szCs w:val="16"/>
          <w:b w:val="1"/>
          <w:bCs w:val="1"/>
          <w:i w:val="1"/>
          <w:iCs w:val="1"/>
          <w:color w:val="auto"/>
        </w:rPr>
        <w:t>Target Bonus Percentage</w:t>
      </w:r>
      <w:r>
        <w:rPr>
          <w:rFonts w:ascii="Arial" w:cs="Arial" w:eastAsia="Arial" w:hAnsi="Arial"/>
          <w:sz w:val="16"/>
          <w:szCs w:val="16"/>
          <w:color w:val="auto"/>
        </w:rPr>
        <w:t>”), less all required tax withholdings and other applicable deductions. The determinations of the Board, the Committee or the Delegate, as applicable, with respect to such Cash Bonus or the Target Bonus Percentage shall be final and binding. Executive’s Target Bonus Percentage for any subsequent year may be adjusted up or down, as determined in the reasonable discretion of the Board, the Committee or the Delegate, as applicable. Except as expressly provided in Section 6, Executive shall not earn a Cash Bonus unless Executive is employed by the Company on the date when such Cash Bonus is actually paid by the Company. Notwithstanding the foregoing, provided, except as expressly provided in Section 6, that Executive is still employed by the Company on the twelve-month anniversary of the Start Date, Executive’s gross Cash Bonus for 2015 will not be less than $200,000.00, before all required tax withholdings and other applicable deductions. If the Cash Bonus for 2015 is paid to Executive before the twelve-month anniversary of the Start Date and is otherwise less than $200,000.00, the difference between $200,000.00 and the Cash Bonus paid will be paid in the first standard payroll period occurring on or after the twelve (12)-month anniversary of the Start Date, subject to, except as expressly provided in Section 6, Executive’s continued employment with the Company on the twelve (12)-month anniversary of the Start Date.</w:t>
      </w:r>
    </w:p>
    <w:p>
      <w:pPr>
        <w:spacing w:after="0" w:line="168" w:lineRule="exact"/>
        <w:rPr>
          <w:rFonts w:ascii="Arial" w:cs="Arial" w:eastAsia="Arial" w:hAnsi="Arial"/>
          <w:sz w:val="16"/>
          <w:szCs w:val="16"/>
          <w:color w:val="auto"/>
        </w:rPr>
      </w:pPr>
    </w:p>
    <w:p>
      <w:pPr>
        <w:jc w:val="both"/>
        <w:ind w:firstLine="1305"/>
        <w:spacing w:after="0" w:line="290" w:lineRule="auto"/>
        <w:tabs>
          <w:tab w:leader="none" w:pos="1717" w:val="left"/>
        </w:tabs>
        <w:numPr>
          <w:ilvl w:val="1"/>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Units</w:t>
      </w:r>
      <w:r>
        <w:rPr>
          <w:rFonts w:ascii="Arial" w:cs="Arial" w:eastAsia="Arial" w:hAnsi="Arial"/>
          <w:sz w:val="16"/>
          <w:szCs w:val="16"/>
          <w:color w:val="auto"/>
        </w:rPr>
        <w:t>. Subject to the approval of the Board, the Committee or a Delegate, as applicable, the Company shall grant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restricted stock units in respect of 42,000 shares of the Company’s common stock (the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The RSU Award shall be granted as soon as reasonably practicable after the date of this Agreement and, in any event, no later than the Start Date and shall be settled in shares of Company common stock. Subject to any vesting acceleration rights Executive may have, the RSU Award shall vest and become payable as to one-third (1/3) of the shares subject to the RSU Award on each of the first three (3) anniversaries of the Start Date, subject to, except as provided in Section 6, Executive continuing to provide services to the Company through the relevant vesting dates. The RSU Award will be subject to the terms, definitions and provisions of the Company’s 2012 Omnibus Equity Incentive Plan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and the restricted stock unit agreement by and between Executive and the Company (the “</w:t>
      </w:r>
      <w:r>
        <w:rPr>
          <w:rFonts w:ascii="Arial" w:cs="Arial" w:eastAsia="Arial" w:hAnsi="Arial"/>
          <w:sz w:val="16"/>
          <w:szCs w:val="16"/>
          <w:b w:val="1"/>
          <w:bCs w:val="1"/>
          <w:i w:val="1"/>
          <w:iCs w:val="1"/>
          <w:color w:val="auto"/>
        </w:rPr>
        <w:t>RSU</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both of which documents are incorporated herein by reference. Executive will be eligible for future awards under the Equity Plan and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plans of the Company, as determined in the reasonable discretion of the Board, the Committee or the Delegate, as applicable.</w:t>
      </w:r>
    </w:p>
    <w:p>
      <w:pPr>
        <w:spacing w:after="0" w:line="159" w:lineRule="exact"/>
        <w:rPr>
          <w:rFonts w:ascii="Arial" w:cs="Arial" w:eastAsia="Arial" w:hAnsi="Arial"/>
          <w:sz w:val="16"/>
          <w:szCs w:val="16"/>
          <w:color w:val="auto"/>
        </w:rPr>
      </w:pPr>
    </w:p>
    <w:p>
      <w:pPr>
        <w:jc w:val="both"/>
        <w:ind w:firstLine="656"/>
        <w:spacing w:after="0" w:line="266" w:lineRule="auto"/>
        <w:tabs>
          <w:tab w:leader="none" w:pos="99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Period, Executive shall be eligible to participate in the employee benefit plans maintained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generally available to similarly situated employees of the Company, subject in each case to the generally applicable terms and conditions of the plan in question and to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8" w:right="239" w:bottom="1440" w:gutter="0" w:footer="0" w:header="0"/>
        </w:sectPr>
      </w:pPr>
    </w:p>
    <w:bookmarkStart w:id="43" w:name="page44"/>
    <w:bookmarkEnd w:id="43"/>
    <w:p>
      <w:pPr>
        <w:ind w:right="20"/>
        <w:spacing w:after="0" w:line="277" w:lineRule="auto"/>
        <w:rPr>
          <w:sz w:val="20"/>
          <w:szCs w:val="20"/>
          <w:color w:val="auto"/>
        </w:rPr>
      </w:pPr>
      <w:r>
        <w:rPr>
          <w:rFonts w:ascii="Arial" w:cs="Arial" w:eastAsia="Arial" w:hAnsi="Arial"/>
          <w:sz w:val="18"/>
          <w:szCs w:val="18"/>
          <w:color w:val="auto"/>
        </w:rPr>
        <w:t>determinations of any person or committee administering such employee benefit plan. The Company reserves the right to cancel or change the employee benefit plans and programs it offers to its employees at any time.</w:t>
      </w:r>
    </w:p>
    <w:p>
      <w:pPr>
        <w:spacing w:after="0" w:line="166" w:lineRule="exact"/>
        <w:rPr>
          <w:sz w:val="20"/>
          <w:szCs w:val="20"/>
          <w:color w:val="auto"/>
        </w:rPr>
      </w:pPr>
    </w:p>
    <w:p>
      <w:pPr>
        <w:jc w:val="both"/>
        <w:ind w:firstLine="656"/>
        <w:spacing w:after="0" w:line="266" w:lineRule="auto"/>
        <w:tabs>
          <w:tab w:leader="none" w:pos="1071"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Business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reimburse Executive for necessary and reasonable business expenses incurred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duties hereunder upon presentation of an itemized account and appropriate supporting documentation, all in accordance with the Company’s generally applicable policies.</w:t>
      </w:r>
    </w:p>
    <w:p>
      <w:pPr>
        <w:spacing w:after="0" w:line="176" w:lineRule="exact"/>
        <w:rPr>
          <w:rFonts w:ascii="Arial" w:cs="Arial" w:eastAsia="Arial" w:hAnsi="Arial"/>
          <w:sz w:val="18"/>
          <w:szCs w:val="18"/>
          <w:color w:val="auto"/>
        </w:rPr>
      </w:pPr>
    </w:p>
    <w:p>
      <w:pPr>
        <w:jc w:val="both"/>
        <w:ind w:firstLine="656"/>
        <w:spacing w:after="0" w:line="303" w:lineRule="auto"/>
        <w:tabs>
          <w:tab w:leader="none" w:pos="990"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Upon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provided in Section 6, upon the termination of Executive’s Employment, Executive shall only</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(i) accrued but unpaid Base Salary compensation and paid time off (PTO), (ii) other benefits earned and the reimbursements described in this Agreement or under any Company-provided plans, policies, and arrangements for the period ending on the effective date of the termination of Employment and (iii) such other compensation or benefits from the Company as may be required by law (collectively, the “</w:t>
      </w:r>
      <w:r>
        <w:rPr>
          <w:rFonts w:ascii="Arial" w:cs="Arial" w:eastAsia="Arial" w:hAnsi="Arial"/>
          <w:sz w:val="16"/>
          <w:szCs w:val="16"/>
          <w:b w:val="1"/>
          <w:bCs w:val="1"/>
          <w:i w:val="1"/>
          <w:iCs w:val="1"/>
          <w:color w:val="auto"/>
        </w:rPr>
        <w:t>Accrued Benefits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Benefits.</w:t>
      </w:r>
    </w:p>
    <w:p>
      <w:pPr>
        <w:spacing w:after="0" w:line="225" w:lineRule="exact"/>
        <w:rPr>
          <w:rFonts w:ascii="Arial" w:cs="Arial" w:eastAsia="Arial" w:hAnsi="Arial"/>
          <w:sz w:val="18"/>
          <w:szCs w:val="18"/>
          <w:color w:val="auto"/>
        </w:rPr>
      </w:pPr>
    </w:p>
    <w:p>
      <w:pPr>
        <w:jc w:val="both"/>
        <w:ind w:firstLine="1305"/>
        <w:spacing w:after="0" w:line="281" w:lineRule="auto"/>
        <w:tabs>
          <w:tab w:leader="none" w:pos="1784" w:val="left"/>
        </w:tabs>
        <w:numPr>
          <w:ilvl w:val="1"/>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without Cause or Resignation for Good Reason and not in Connection with a Change in Control</w:t>
      </w:r>
      <w:r>
        <w:rPr>
          <w:rFonts w:ascii="Arial" w:cs="Arial" w:eastAsia="Arial" w:hAnsi="Arial"/>
          <w:sz w:val="17"/>
          <w:szCs w:val="17"/>
          <w:color w:val="auto"/>
        </w:rPr>
        <w:t>. If (x)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terminates Executive’s employment with the Company for a reason other than for Cause, Executive becoming Disabled or Executive’s death or (y) Executive resigns from such employment for Good Reason at any time other than during the twelve (12)-month period immediately following a Change in Control, then, subject to Section 7, Executive will receive the following severance benefits from the Company:</w:t>
      </w:r>
    </w:p>
    <w:p>
      <w:pPr>
        <w:spacing w:after="0" w:line="168" w:lineRule="exact"/>
        <w:rPr>
          <w:rFonts w:ascii="Arial" w:cs="Arial" w:eastAsia="Arial" w:hAnsi="Arial"/>
          <w:sz w:val="17"/>
          <w:szCs w:val="17"/>
          <w:color w:val="auto"/>
        </w:rPr>
      </w:pPr>
    </w:p>
    <w:p>
      <w:pPr>
        <w:ind w:left="2300" w:hanging="347"/>
        <w:spacing w:after="0"/>
        <w:tabs>
          <w:tab w:leader="none" w:pos="2300"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Benefits.</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520"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Executive will receive semi-monthly continuing payments of severance pay at a rate equal to Executive’s Base Salary, as then in effect, for the Severance Period (as defined below), less all required tax withholdings and other applicable deductions, which will be paid in accordance with the Company’s regular payroll procedures.</w:t>
      </w:r>
    </w:p>
    <w:p>
      <w:pPr>
        <w:spacing w:after="0" w:line="181" w:lineRule="exact"/>
        <w:rPr>
          <w:rFonts w:ascii="Arial" w:cs="Arial" w:eastAsia="Arial" w:hAnsi="Arial"/>
          <w:sz w:val="18"/>
          <w:szCs w:val="18"/>
          <w:color w:val="auto"/>
        </w:rPr>
      </w:pPr>
    </w:p>
    <w:p>
      <w:pPr>
        <w:jc w:val="both"/>
        <w:ind w:firstLine="1953"/>
        <w:spacing w:after="0" w:line="272" w:lineRule="auto"/>
        <w:tabs>
          <w:tab w:leader="none" w:pos="2476"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Continued Employee Benefits</w:t>
      </w:r>
      <w:r>
        <w:rPr>
          <w:rFonts w:ascii="Arial" w:cs="Arial" w:eastAsia="Arial" w:hAnsi="Arial"/>
          <w:sz w:val="17"/>
          <w:szCs w:val="17"/>
          <w:color w:val="auto"/>
        </w:rPr>
        <w:t>. If Executive elects continuation coverage pursuant to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within the time period prescribed pursuant to COBRA, the Company will reimburse Executive for the COBRA premiums for such coverage for Executive and, if applicable, Executive’s eligible dependents (at the coverage levels in effect immediately prior to Executive’s termination or resignation) until the earlier of (A) the end of the Severance Period, or (B) the date upon which Executive and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77" w:lineRule="exact"/>
        <w:rPr>
          <w:rFonts w:ascii="Arial" w:cs="Arial" w:eastAsia="Arial" w:hAnsi="Arial"/>
          <w:sz w:val="17"/>
          <w:szCs w:val="17"/>
          <w:color w:val="auto"/>
        </w:rPr>
      </w:pPr>
    </w:p>
    <w:p>
      <w:pPr>
        <w:ind w:right="40" w:firstLine="1953"/>
        <w:spacing w:after="0" w:line="259" w:lineRule="auto"/>
        <w:tabs>
          <w:tab w:leader="none" w:pos="2385"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Notwithstanding anything to the contrary contained in the RSU Agreement or any other equity award agreement in effect between the Company and Executive, fifty percent (50%) of all of Executive’s unvested and outstanding equity awards that would have become vested had Executive remained in the employ of the Company for the twelve (12)-month period following Executive’s termination of employment shall immediately vest and become exercisable as of the date of Executive’s termination.</w:t>
      </w:r>
    </w:p>
    <w:p>
      <w:pPr>
        <w:spacing w:after="0" w:line="186" w:lineRule="exact"/>
        <w:rPr>
          <w:rFonts w:ascii="Arial" w:cs="Arial" w:eastAsia="Arial" w:hAnsi="Arial"/>
          <w:sz w:val="18"/>
          <w:szCs w:val="18"/>
          <w:color w:val="auto"/>
        </w:rPr>
      </w:pPr>
    </w:p>
    <w:p>
      <w:pPr>
        <w:jc w:val="both"/>
        <w:ind w:firstLine="1953"/>
        <w:spacing w:after="0" w:line="297" w:lineRule="auto"/>
        <w:tabs>
          <w:tab w:leader="none" w:pos="2348"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Pro-Rated Bonus Payment</w:t>
      </w:r>
      <w:r>
        <w:rPr>
          <w:rFonts w:ascii="Arial" w:cs="Arial" w:eastAsia="Arial" w:hAnsi="Arial"/>
          <w:sz w:val="16"/>
          <w:szCs w:val="16"/>
          <w:color w:val="auto"/>
        </w:rPr>
        <w:t xml:space="preserve">. Executive will receive a pro-rated annual bonus for the fiscal year in which Executive terminates employment equal to (x) the annual bonus that Executive would have received based on actual performance for such fiscal year if Executive had remained in the employ of the Company for the entire fiscal year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(y) a fraction, the numerator of which is the number of days Executive was in the employ of the Company during the fiscal year including the Termination Date and the denominator of which is 365 (the “</w:t>
      </w:r>
      <w:r>
        <w:rPr>
          <w:rFonts w:ascii="Arial" w:cs="Arial" w:eastAsia="Arial" w:hAnsi="Arial"/>
          <w:sz w:val="16"/>
          <w:szCs w:val="16"/>
          <w:b w:val="1"/>
          <w:bCs w:val="1"/>
          <w:i w:val="1"/>
          <w:iCs w:val="1"/>
          <w:color w:val="auto"/>
        </w:rPr>
        <w:t>Pro-Rated Bonus</w:t>
      </w:r>
      <w:r>
        <w:rPr>
          <w:rFonts w:ascii="Arial" w:cs="Arial" w:eastAsia="Arial" w:hAnsi="Arial"/>
          <w:sz w:val="16"/>
          <w:szCs w:val="16"/>
          <w:color w:val="auto"/>
        </w:rPr>
        <w:t>”). The Pro-Rated Bonus, if any, shall be paid at the same time annual bonuses are paid by the Company to other executives of the Company for the fiscal year in which Executive terminated employment, but no later than March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the calendar year following the calendar year in which Executive terminated employment.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8" w:right="239" w:bottom="1440" w:gutter="0" w:footer="0" w:header="0"/>
        </w:sectPr>
      </w:pPr>
    </w:p>
    <w:bookmarkStart w:id="44" w:name="page45"/>
    <w:bookmarkEnd w:id="44"/>
    <w:p>
      <w:pPr>
        <w:jc w:val="both"/>
        <w:ind w:firstLine="1305"/>
        <w:spacing w:after="0" w:line="281" w:lineRule="auto"/>
        <w:tabs>
          <w:tab w:leader="none" w:pos="1686"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without Cause or Resignation for Good Reason in Connection with a Change in Control</w:t>
      </w:r>
      <w:r>
        <w:rPr>
          <w:rFonts w:ascii="Arial" w:cs="Arial" w:eastAsia="Arial" w:hAnsi="Arial"/>
          <w:sz w:val="17"/>
          <w:szCs w:val="17"/>
          <w:color w:val="auto"/>
        </w:rPr>
        <w:t>. If during the twelve (12)-month period immediately following a Change in Control, (x) the Company terminates Executive’s employment with the Company for a reason other than for Cause, Executive becoming Disabled or Executive’s death, or (y) Executive resigns from such employment for Good Reason, then, subject to Section 7, Executive will receive the following severance benefits from the Company in lieu of the benefits described in Section 6(a) above:</w:t>
      </w:r>
    </w:p>
    <w:p>
      <w:pPr>
        <w:spacing w:after="0" w:line="168" w:lineRule="exact"/>
        <w:rPr>
          <w:rFonts w:ascii="Arial" w:cs="Arial" w:eastAsia="Arial" w:hAnsi="Arial"/>
          <w:sz w:val="17"/>
          <w:szCs w:val="17"/>
          <w:color w:val="auto"/>
        </w:rPr>
      </w:pPr>
    </w:p>
    <w:p>
      <w:pPr>
        <w:ind w:left="2300" w:hanging="347"/>
        <w:spacing w:after="0"/>
        <w:tabs>
          <w:tab w:leader="none" w:pos="23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Benefits.</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41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Executive will receive a lump sum severance payment equal to six (6) months’ of Executive’s Base Salary as in effect immediately prior to the date of Executive’s termination of employment, less all required tax withholdings and other applicable deductions, which will be paid in accordance with the Company’s regular payroll procedures.</w:t>
      </w:r>
    </w:p>
    <w:p>
      <w:pPr>
        <w:spacing w:after="0" w:line="181" w:lineRule="exact"/>
        <w:rPr>
          <w:rFonts w:ascii="Arial" w:cs="Arial" w:eastAsia="Arial" w:hAnsi="Arial"/>
          <w:sz w:val="18"/>
          <w:szCs w:val="18"/>
          <w:color w:val="auto"/>
        </w:rPr>
      </w:pPr>
    </w:p>
    <w:p>
      <w:pPr>
        <w:jc w:val="both"/>
        <w:ind w:firstLine="1953"/>
        <w:spacing w:after="0" w:line="255" w:lineRule="auto"/>
        <w:tabs>
          <w:tab w:leader="none" w:pos="253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Continued Employee Benefits</w:t>
      </w:r>
      <w:r>
        <w:rPr>
          <w:rFonts w:ascii="Arial" w:cs="Arial" w:eastAsia="Arial" w:hAnsi="Arial"/>
          <w:sz w:val="18"/>
          <w:szCs w:val="18"/>
          <w:color w:val="auto"/>
        </w:rPr>
        <w:t>. If Executive elects continuation coverage pursuant to COBRA within the time period prescribed pursuant to COBRA, the Company will reimburse Executive for the COBRA premiums for such coverage for Executive and, if applicable, Executive’s eligible dependents (at the coverage levels in effect immediately prior to Executive’s termination or resignation) until the earlier of (A) a period of six (6) months from the last date of employment of Executive with the Company, or (B) the date upon which Executive and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89" w:lineRule="exact"/>
        <w:rPr>
          <w:rFonts w:ascii="Arial" w:cs="Arial" w:eastAsia="Arial" w:hAnsi="Arial"/>
          <w:sz w:val="18"/>
          <w:szCs w:val="18"/>
          <w:color w:val="auto"/>
        </w:rPr>
      </w:pPr>
    </w:p>
    <w:p>
      <w:pPr>
        <w:jc w:val="both"/>
        <w:ind w:firstLine="1953"/>
        <w:spacing w:after="0" w:line="259" w:lineRule="auto"/>
        <w:tabs>
          <w:tab w:leader="none" w:pos="241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Notwithstanding anything to the contrary contained in the RSU Agreement or any other equity award agreement in effect between the Company and Executive, fifty percent (50%) of all of Executive’s unvested and outstanding equity awards that would have become vested had Executive remained in the employ of the Company for the twelve (12)-month period following Executive’s termination of employment shall immediately vest and become exercisable as of the date of Executive’s termination.</w:t>
      </w:r>
    </w:p>
    <w:p>
      <w:pPr>
        <w:spacing w:after="0" w:line="186" w:lineRule="exact"/>
        <w:rPr>
          <w:rFonts w:ascii="Arial" w:cs="Arial" w:eastAsia="Arial" w:hAnsi="Arial"/>
          <w:sz w:val="18"/>
          <w:szCs w:val="18"/>
          <w:color w:val="auto"/>
        </w:rPr>
      </w:pPr>
    </w:p>
    <w:p>
      <w:pPr>
        <w:ind w:left="2340" w:hanging="387"/>
        <w:spacing w:after="0"/>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Pro-Rated Bonus Payment</w:t>
      </w:r>
      <w:r>
        <w:rPr>
          <w:rFonts w:ascii="Arial" w:cs="Arial" w:eastAsia="Arial" w:hAnsi="Arial"/>
          <w:sz w:val="18"/>
          <w:szCs w:val="18"/>
          <w:color w:val="auto"/>
        </w:rPr>
        <w:t>. Executive will receive the Pro-Rated Bonus, as described in Section 6(a)(v).</w:t>
      </w:r>
    </w:p>
    <w:p>
      <w:pPr>
        <w:spacing w:after="0" w:line="221" w:lineRule="exact"/>
        <w:rPr>
          <w:rFonts w:ascii="Arial" w:cs="Arial" w:eastAsia="Arial" w:hAnsi="Arial"/>
          <w:sz w:val="18"/>
          <w:szCs w:val="18"/>
          <w:color w:val="auto"/>
        </w:rPr>
      </w:pPr>
    </w:p>
    <w:p>
      <w:pPr>
        <w:jc w:val="both"/>
        <w:ind w:firstLine="1305"/>
        <w:spacing w:after="0" w:line="256" w:lineRule="auto"/>
        <w:tabs>
          <w:tab w:leader="none" w:pos="1703"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 Death; Voluntary Resignation other than for Good Reason; Termination for Cause</w:t>
      </w:r>
      <w:r>
        <w:rPr>
          <w:rFonts w:ascii="Arial" w:cs="Arial" w:eastAsia="Arial" w:hAnsi="Arial"/>
          <w:sz w:val="18"/>
          <w:szCs w:val="18"/>
          <w:color w:val="auto"/>
        </w:rPr>
        <w:t>. If Executive’s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terminated due to (i) Executive becoming Disabled or Executive’s death, (ii) Executive’s voluntary resignation (other than for Good Reason),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 All Accrued Benefits shall in all cases be paid within thirty (30) days of Executive’s termination of employment (or such earlier date as required by applicable law) pursuant to this Section 6(c).</w:t>
      </w:r>
    </w:p>
    <w:p>
      <w:pPr>
        <w:spacing w:after="0" w:line="187" w:lineRule="exact"/>
        <w:rPr>
          <w:rFonts w:ascii="Arial" w:cs="Arial" w:eastAsia="Arial" w:hAnsi="Arial"/>
          <w:sz w:val="18"/>
          <w:szCs w:val="18"/>
          <w:color w:val="auto"/>
        </w:rPr>
      </w:pPr>
    </w:p>
    <w:p>
      <w:pPr>
        <w:jc w:val="both"/>
        <w:ind w:firstLine="1305"/>
        <w:spacing w:after="0" w:line="266" w:lineRule="auto"/>
        <w:tabs>
          <w:tab w:leader="none" w:pos="1686"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Timing of Payments</w:t>
      </w:r>
      <w:r>
        <w:rPr>
          <w:rFonts w:ascii="Arial" w:cs="Arial" w:eastAsia="Arial" w:hAnsi="Arial"/>
          <w:sz w:val="18"/>
          <w:szCs w:val="18"/>
          <w:color w:val="auto"/>
        </w:rPr>
        <w:t>. Subject to any specific timing provisions in Section 6(a), 6(b) or 6(c), as applicable, or the provisions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7, payment of the severance and benefits hereunder shall be made or commence to be made as soon as practicable following Executive’s termination of employment.</w:t>
      </w:r>
    </w:p>
    <w:p>
      <w:pPr>
        <w:spacing w:after="0" w:line="176" w:lineRule="exact"/>
        <w:rPr>
          <w:rFonts w:ascii="Arial" w:cs="Arial" w:eastAsia="Arial" w:hAnsi="Arial"/>
          <w:sz w:val="18"/>
          <w:szCs w:val="18"/>
          <w:color w:val="auto"/>
        </w:rPr>
      </w:pPr>
    </w:p>
    <w:p>
      <w:pPr>
        <w:jc w:val="both"/>
        <w:ind w:firstLine="1305"/>
        <w:spacing w:after="0" w:line="258" w:lineRule="auto"/>
        <w:tabs>
          <w:tab w:leader="none" w:pos="1703"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Exclusive Remedy</w:t>
      </w:r>
      <w:r>
        <w:rPr>
          <w:rFonts w:ascii="Arial" w:cs="Arial" w:eastAsia="Arial" w:hAnsi="Arial"/>
          <w:sz w:val="18"/>
          <w:szCs w:val="18"/>
          <w:color w:val="auto"/>
        </w:rPr>
        <w:t>. In the event of a termination of Executive’s employment with the Company, the provisions of this Section 6 are</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other than those benefits expressly set forth in Section 6 of this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4" w:right="239" w:bottom="1440" w:gutter="0" w:footer="0" w:header="0"/>
        </w:sectPr>
      </w:pPr>
    </w:p>
    <w:bookmarkStart w:id="45" w:name="page46"/>
    <w:bookmarkEnd w:id="45"/>
    <w:p>
      <w:pPr>
        <w:ind w:firstLine="1305"/>
        <w:spacing w:after="0" w:line="282" w:lineRule="auto"/>
        <w:tabs>
          <w:tab w:leader="none" w:pos="1656" w:val="left"/>
        </w:tabs>
        <w:numPr>
          <w:ilvl w:val="2"/>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w:t>
      </w:r>
      <w:r>
        <w:rPr>
          <w:rFonts w:ascii="Arial" w:cs="Arial" w:eastAsia="Arial" w:hAnsi="Arial"/>
          <w:sz w:val="18"/>
          <w:szCs w:val="18"/>
          <w:b w:val="1"/>
          <w:bCs w:val="1"/>
          <w:color w:val="auto"/>
        </w:rPr>
        <w:t xml:space="preserve"> </w:t>
      </w:r>
      <w:r>
        <w:rPr>
          <w:rFonts w:ascii="Arial" w:cs="Arial" w:eastAsia="Arial" w:hAnsi="Arial"/>
          <w:sz w:val="18"/>
          <w:szCs w:val="18"/>
          <w:color w:val="auto"/>
        </w:rPr>
        <w:t>any earnings that Executive may receive from any other source reduce any such payment.</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Receipt of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4" w:lineRule="auto"/>
        <w:tabs>
          <w:tab w:leader="none" w:pos="1690" w:val="left"/>
        </w:tabs>
        <w:numPr>
          <w:ilvl w:val="2"/>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Release of Claims Agreement</w:t>
      </w:r>
      <w:r>
        <w:rPr>
          <w:rFonts w:ascii="Arial" w:cs="Arial" w:eastAsia="Arial" w:hAnsi="Arial"/>
          <w:sz w:val="16"/>
          <w:szCs w:val="16"/>
          <w:color w:val="auto"/>
        </w:rPr>
        <w:t>. The receipt of any severance payments or benefits pursuant to this Agreement is subject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signing and not revoking a customary separation agreement and release of claims in a form acceptable to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must become effective no later than the sixtieth (60th) day following Executive’s termination of employment (the “</w:t>
      </w:r>
      <w:r>
        <w:rPr>
          <w:rFonts w:ascii="Arial" w:cs="Arial" w:eastAsia="Arial" w:hAnsi="Arial"/>
          <w:sz w:val="16"/>
          <w:szCs w:val="16"/>
          <w:b w:val="1"/>
          <w:bCs w:val="1"/>
          <w:i w:val="1"/>
          <w:iCs w:val="1"/>
          <w:color w:val="auto"/>
        </w:rPr>
        <w:t>Release Deadline</w:t>
      </w:r>
      <w:r>
        <w:rPr>
          <w:rFonts w:ascii="Arial" w:cs="Arial" w:eastAsia="Arial" w:hAnsi="Arial"/>
          <w:sz w:val="16"/>
          <w:szCs w:val="16"/>
          <w:color w:val="auto"/>
        </w:rPr>
        <w:t>”), and if not, Executive will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 year in which such termination occurs, or such later time as required by</w:t>
      </w:r>
    </w:p>
    <w:p>
      <w:pPr>
        <w:spacing w:after="0" w:line="3" w:lineRule="exact"/>
        <w:rPr>
          <w:rFonts w:ascii="Arial" w:cs="Arial" w:eastAsia="Arial" w:hAnsi="Arial"/>
          <w:sz w:val="16"/>
          <w:szCs w:val="16"/>
          <w:color w:val="auto"/>
        </w:rPr>
      </w:pPr>
    </w:p>
    <w:p>
      <w:pPr>
        <w:jc w:val="both"/>
        <w:ind w:firstLine="8"/>
        <w:spacing w:after="0" w:line="255" w:lineRule="auto"/>
        <w:tabs>
          <w:tab w:leader="none" w:pos="2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payment schedule applicable to each payment or benefit as set forth in Section 6, (ii) the date the Release becomes effective, or (iii) Section 7(c)(ii); provided that the first payment shall include all amounts that would have been paid to Executive if payment had commenced on the date of Executive’s termination of employment.</w:t>
      </w:r>
    </w:p>
    <w:p>
      <w:pPr>
        <w:spacing w:after="0" w:line="186" w:lineRule="exact"/>
        <w:rPr>
          <w:rFonts w:ascii="Arial" w:cs="Arial" w:eastAsia="Arial" w:hAnsi="Arial"/>
          <w:sz w:val="18"/>
          <w:szCs w:val="18"/>
          <w:color w:val="auto"/>
        </w:rPr>
      </w:pPr>
    </w:p>
    <w:p>
      <w:pPr>
        <w:ind w:firstLine="1305"/>
        <w:spacing w:after="0" w:line="282" w:lineRule="auto"/>
        <w:tabs>
          <w:tab w:leader="none" w:pos="1686" w:val="left"/>
        </w:tabs>
        <w:numPr>
          <w:ilvl w:val="2"/>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Non-Disclosure Agreement</w:t>
      </w:r>
      <w:r>
        <w:rPr>
          <w:rFonts w:ascii="Arial" w:cs="Arial" w:eastAsia="Arial" w:hAnsi="Arial"/>
          <w:sz w:val="18"/>
          <w:szCs w:val="18"/>
          <w:color w:val="auto"/>
        </w:rPr>
        <w:t>. Executive’s receipt of any payments or benefits under Section 6 will be subject to Executive’s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requirements set for in the Non-Disclosure Agreement (as defined in Section 9(a) below).</w:t>
      </w:r>
    </w:p>
    <w:p>
      <w:pPr>
        <w:spacing w:after="0" w:line="161" w:lineRule="exact"/>
        <w:rPr>
          <w:rFonts w:ascii="Arial" w:cs="Arial" w:eastAsia="Arial" w:hAnsi="Arial"/>
          <w:sz w:val="18"/>
          <w:szCs w:val="18"/>
          <w:color w:val="auto"/>
        </w:rPr>
      </w:pPr>
    </w:p>
    <w:p>
      <w:pPr>
        <w:ind w:left="1680" w:hanging="375"/>
        <w:spacing w:after="0"/>
        <w:tabs>
          <w:tab w:leader="none" w:pos="1680" w:val="left"/>
        </w:tabs>
        <w:numPr>
          <w:ilvl w:val="2"/>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72" w:lineRule="auto"/>
        <w:tabs>
          <w:tab w:leader="none" w:pos="2302" w:val="left"/>
        </w:tabs>
        <w:numPr>
          <w:ilvl w:val="3"/>
          <w:numId w:val="1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Arial" w:cs="Arial" w:eastAsia="Arial" w:hAnsi="Arial"/>
          <w:sz w:val="17"/>
          <w:szCs w:val="17"/>
          <w:b w:val="1"/>
          <w:bCs w:val="1"/>
          <w:i w:val="1"/>
          <w:iCs w:val="1"/>
          <w:color w:val="auto"/>
        </w:rPr>
        <w:t>Deferred Payments</w:t>
      </w:r>
      <w:r>
        <w:rPr>
          <w:rFonts w:ascii="Arial" w:cs="Arial" w:eastAsia="Arial" w:hAnsi="Arial"/>
          <w:sz w:val="17"/>
          <w:szCs w:val="17"/>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77" w:lineRule="exact"/>
        <w:rPr>
          <w:rFonts w:ascii="Arial" w:cs="Arial" w:eastAsia="Arial" w:hAnsi="Arial"/>
          <w:sz w:val="17"/>
          <w:szCs w:val="17"/>
          <w:color w:val="auto"/>
        </w:rPr>
      </w:pPr>
    </w:p>
    <w:p>
      <w:pPr>
        <w:jc w:val="both"/>
        <w:ind w:firstLine="1953"/>
        <w:spacing w:after="0" w:line="270" w:lineRule="auto"/>
        <w:tabs>
          <w:tab w:leader="none" w:pos="2399" w:val="left"/>
        </w:tabs>
        <w:numPr>
          <w:ilvl w:val="3"/>
          <w:numId w:val="1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if Executive is a “</w:t>
      </w:r>
      <w:r>
        <w:rPr>
          <w:rFonts w:ascii="Arial" w:cs="Arial" w:eastAsia="Arial" w:hAnsi="Arial"/>
          <w:sz w:val="17"/>
          <w:szCs w:val="17"/>
          <w:b w:val="1"/>
          <w:bCs w:val="1"/>
          <w:i w:val="1"/>
          <w:iCs w:val="1"/>
          <w:color w:val="auto"/>
        </w:rPr>
        <w:t>specified employee</w:t>
      </w:r>
      <w:r>
        <w:rPr>
          <w:rFonts w:ascii="Arial" w:cs="Arial" w:eastAsia="Arial" w:hAnsi="Arial"/>
          <w:sz w:val="17"/>
          <w:szCs w:val="17"/>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81" w:lineRule="exact"/>
        <w:rPr>
          <w:rFonts w:ascii="Arial" w:cs="Arial" w:eastAsia="Arial" w:hAnsi="Arial"/>
          <w:sz w:val="17"/>
          <w:szCs w:val="17"/>
          <w:color w:val="auto"/>
        </w:rPr>
      </w:pPr>
    </w:p>
    <w:p>
      <w:pPr>
        <w:ind w:firstLine="1953"/>
        <w:spacing w:after="0" w:line="308" w:lineRule="auto"/>
        <w:tabs>
          <w:tab w:leader="none" w:pos="2394" w:val="left"/>
        </w:tabs>
        <w:numPr>
          <w:ilvl w:val="3"/>
          <w:numId w:val="19"/>
        </w:numPr>
        <w:rPr>
          <w:rFonts w:ascii="Arial" w:cs="Arial" w:eastAsia="Arial" w:hAnsi="Arial"/>
          <w:sz w:val="17"/>
          <w:szCs w:val="17"/>
          <w:color w:val="auto"/>
        </w:rPr>
      </w:pPr>
      <w:r>
        <w:rPr>
          <w:rFonts w:ascii="Arial" w:cs="Arial" w:eastAsia="Arial" w:hAnsi="Arial"/>
          <w:sz w:val="17"/>
          <w:szCs w:val="17"/>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4" w:right="239" w:bottom="1440" w:gutter="0" w:footer="0" w:header="0"/>
        </w:sectPr>
      </w:pPr>
    </w:p>
    <w:bookmarkStart w:id="46" w:name="page47"/>
    <w:bookmarkEnd w:id="46"/>
    <w:p>
      <w:pPr>
        <w:jc w:val="both"/>
        <w:ind w:firstLine="1953"/>
        <w:spacing w:after="0" w:line="259" w:lineRule="auto"/>
        <w:tabs>
          <w:tab w:leader="none" w:pos="2442" w:val="left"/>
        </w:tabs>
        <w:numPr>
          <w:ilvl w:val="2"/>
          <w:numId w:val="20"/>
        </w:numPr>
        <w:rPr>
          <w:rFonts w:ascii="Arial" w:cs="Arial" w:eastAsia="Arial" w:hAnsi="Arial"/>
          <w:sz w:val="18"/>
          <w:szCs w:val="18"/>
          <w:color w:val="auto"/>
        </w:rPr>
      </w:pPr>
      <w:r>
        <w:rPr>
          <w:rFonts w:ascii="Arial" w:cs="Arial" w:eastAsia="Arial" w:hAnsi="Arial"/>
          <w:sz w:val="18"/>
          <w:szCs w:val="18"/>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86" w:lineRule="exact"/>
        <w:rPr>
          <w:rFonts w:ascii="Arial" w:cs="Arial" w:eastAsia="Arial" w:hAnsi="Arial"/>
          <w:sz w:val="18"/>
          <w:szCs w:val="18"/>
          <w:color w:val="auto"/>
        </w:rPr>
      </w:pPr>
    </w:p>
    <w:p>
      <w:pPr>
        <w:jc w:val="both"/>
        <w:ind w:firstLine="1953"/>
        <w:spacing w:after="0" w:line="276" w:lineRule="auto"/>
        <w:tabs>
          <w:tab w:leader="none" w:pos="2403" w:val="left"/>
        </w:tabs>
        <w:numPr>
          <w:ilvl w:val="2"/>
          <w:numId w:val="20"/>
        </w:numPr>
        <w:rPr>
          <w:rFonts w:ascii="Arial" w:cs="Arial" w:eastAsia="Arial" w:hAnsi="Arial"/>
          <w:sz w:val="17"/>
          <w:szCs w:val="17"/>
          <w:color w:val="auto"/>
        </w:rPr>
      </w:pPr>
      <w:r>
        <w:rPr>
          <w:rFonts w:ascii="Arial" w:cs="Arial" w:eastAsia="Arial" w:hAnsi="Arial"/>
          <w:sz w:val="17"/>
          <w:szCs w:val="17"/>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72" w:lineRule="exact"/>
        <w:rPr>
          <w:rFonts w:ascii="Arial" w:cs="Arial" w:eastAsia="Arial" w:hAnsi="Arial"/>
          <w:sz w:val="17"/>
          <w:szCs w:val="17"/>
          <w:color w:val="auto"/>
        </w:rPr>
      </w:pPr>
    </w:p>
    <w:p>
      <w:pPr>
        <w:jc w:val="both"/>
        <w:ind w:firstLine="1953"/>
        <w:spacing w:after="0" w:line="276" w:lineRule="auto"/>
        <w:tabs>
          <w:tab w:leader="none" w:pos="2487" w:val="left"/>
        </w:tabs>
        <w:numPr>
          <w:ilvl w:val="2"/>
          <w:numId w:val="20"/>
        </w:numPr>
        <w:rPr>
          <w:rFonts w:ascii="Arial" w:cs="Arial" w:eastAsia="Arial" w:hAnsi="Arial"/>
          <w:sz w:val="17"/>
          <w:szCs w:val="17"/>
          <w:color w:val="auto"/>
        </w:rPr>
      </w:pPr>
      <w:r>
        <w:rPr>
          <w:rFonts w:ascii="Arial" w:cs="Arial" w:eastAsia="Arial" w:hAnsi="Arial"/>
          <w:sz w:val="17"/>
          <w:szCs w:val="17"/>
          <w:color w:val="auto"/>
        </w:rPr>
        <w:t>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168"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Terms</w:t>
      </w:r>
      <w:r>
        <w:rPr>
          <w:rFonts w:ascii="Arial" w:cs="Arial" w:eastAsia="Arial" w:hAnsi="Arial"/>
          <w:sz w:val="18"/>
          <w:szCs w:val="18"/>
          <w:color w:val="auto"/>
        </w:rPr>
        <w:t>. The following terms referred to in this Agreement will have the following meanings: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“Cause” means:</w:t>
      </w:r>
    </w:p>
    <w:p>
      <w:pPr>
        <w:spacing w:after="0" w:line="229" w:lineRule="exact"/>
        <w:rPr>
          <w:rFonts w:ascii="Arial" w:cs="Arial" w:eastAsia="Arial" w:hAnsi="Arial"/>
          <w:sz w:val="18"/>
          <w:szCs w:val="18"/>
          <w:color w:val="auto"/>
        </w:rPr>
      </w:pPr>
    </w:p>
    <w:p>
      <w:pPr>
        <w:ind w:firstLine="1953"/>
        <w:spacing w:after="0" w:line="277" w:lineRule="auto"/>
        <w:tabs>
          <w:tab w:leader="none" w:pos="2436" w:val="left"/>
        </w:tabs>
        <w:numPr>
          <w:ilvl w:val="2"/>
          <w:numId w:val="21"/>
        </w:numPr>
        <w:rPr>
          <w:rFonts w:ascii="Arial" w:cs="Arial" w:eastAsia="Arial" w:hAnsi="Arial"/>
          <w:sz w:val="18"/>
          <w:szCs w:val="18"/>
          <w:color w:val="auto"/>
        </w:rPr>
      </w:pPr>
      <w:r>
        <w:rPr>
          <w:rFonts w:ascii="Arial" w:cs="Arial" w:eastAsia="Arial" w:hAnsi="Arial"/>
          <w:sz w:val="18"/>
          <w:szCs w:val="18"/>
          <w:color w:val="auto"/>
        </w:rPr>
        <w:t>Executive’s gross negligence or willful misconduct in the performance of his or her duties and responsibilities to the Company or Executive’s violation of any written Company policy;</w:t>
      </w:r>
    </w:p>
    <w:p>
      <w:pPr>
        <w:spacing w:after="0" w:line="170" w:lineRule="exact"/>
        <w:rPr>
          <w:rFonts w:ascii="Arial" w:cs="Arial" w:eastAsia="Arial" w:hAnsi="Arial"/>
          <w:sz w:val="18"/>
          <w:szCs w:val="18"/>
          <w:color w:val="auto"/>
        </w:rPr>
      </w:pPr>
    </w:p>
    <w:p>
      <w:pPr>
        <w:ind w:firstLine="1953"/>
        <w:spacing w:after="0" w:line="277" w:lineRule="auto"/>
        <w:tabs>
          <w:tab w:leader="none" w:pos="2388" w:val="left"/>
        </w:tabs>
        <w:numPr>
          <w:ilvl w:val="2"/>
          <w:numId w:val="21"/>
        </w:numPr>
        <w:rPr>
          <w:rFonts w:ascii="Arial" w:cs="Arial" w:eastAsia="Arial" w:hAnsi="Arial"/>
          <w:sz w:val="18"/>
          <w:szCs w:val="18"/>
          <w:color w:val="auto"/>
        </w:rPr>
      </w:pPr>
      <w:r>
        <w:rPr>
          <w:rFonts w:ascii="Arial" w:cs="Arial" w:eastAsia="Arial" w:hAnsi="Arial"/>
          <w:sz w:val="18"/>
          <w:szCs w:val="18"/>
          <w:color w:val="auto"/>
        </w:rPr>
        <w:t>Executive’s commission of any act of fraud, theft, embezzlement, financial dishonesty or any other willful misconduct that has caused or is reasonably expected to result in injury to the Company;</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2"/>
          <w:numId w:val="21"/>
        </w:numPr>
        <w:rPr>
          <w:rFonts w:ascii="Arial" w:cs="Arial" w:eastAsia="Arial" w:hAnsi="Arial"/>
          <w:sz w:val="16"/>
          <w:szCs w:val="16"/>
          <w:color w:val="auto"/>
        </w:rPr>
      </w:pPr>
      <w:r>
        <w:rPr>
          <w:rFonts w:ascii="Arial" w:cs="Arial" w:eastAsia="Arial" w:hAnsi="Arial"/>
          <w:sz w:val="16"/>
          <w:szCs w:val="16"/>
          <w:color w:val="auto"/>
        </w:rPr>
        <w:t>Executive’s conviction of, or pleading guilty or nolo contendre to, any felony or a lesser crime involving dishonesty or moral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turpitude;</w:t>
      </w:r>
    </w:p>
    <w:p>
      <w:pPr>
        <w:spacing w:after="0" w:line="210" w:lineRule="exact"/>
        <w:rPr>
          <w:rFonts w:ascii="Arial" w:cs="Arial" w:eastAsia="Arial" w:hAnsi="Arial"/>
          <w:sz w:val="16"/>
          <w:szCs w:val="16"/>
          <w:color w:val="auto"/>
        </w:rPr>
      </w:pPr>
    </w:p>
    <w:p>
      <w:pPr>
        <w:ind w:left="2400" w:hanging="447"/>
        <w:spacing w:after="0"/>
        <w:tabs>
          <w:tab w:leader="none" w:pos="24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Executive’s alcohol abuse or other substance abuse;</w:t>
      </w:r>
    </w:p>
    <w:p>
      <w:pPr>
        <w:spacing w:after="0" w:line="225" w:lineRule="exact"/>
        <w:rPr>
          <w:rFonts w:ascii="Arial" w:cs="Arial" w:eastAsia="Arial" w:hAnsi="Arial"/>
          <w:sz w:val="18"/>
          <w:szCs w:val="18"/>
          <w:color w:val="auto"/>
        </w:rPr>
      </w:pPr>
    </w:p>
    <w:p>
      <w:pPr>
        <w:ind w:firstLine="1953"/>
        <w:spacing w:after="0" w:line="277" w:lineRule="auto"/>
        <w:tabs>
          <w:tab w:leader="none" w:pos="2349" w:val="left"/>
        </w:tabs>
        <w:numPr>
          <w:ilvl w:val="2"/>
          <w:numId w:val="21"/>
        </w:numPr>
        <w:rPr>
          <w:rFonts w:ascii="Arial" w:cs="Arial" w:eastAsia="Arial" w:hAnsi="Arial"/>
          <w:sz w:val="18"/>
          <w:szCs w:val="18"/>
          <w:color w:val="auto"/>
        </w:rPr>
      </w:pPr>
      <w:r>
        <w:rPr>
          <w:rFonts w:ascii="Arial" w:cs="Arial" w:eastAsia="Arial" w:hAnsi="Arial"/>
          <w:sz w:val="18"/>
          <w:szCs w:val="18"/>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2"/>
          <w:numId w:val="21"/>
        </w:numPr>
        <w:rPr>
          <w:rFonts w:ascii="Arial" w:cs="Arial" w:eastAsia="Arial" w:hAnsi="Arial"/>
          <w:sz w:val="17"/>
          <w:szCs w:val="17"/>
          <w:color w:val="auto"/>
        </w:rPr>
      </w:pPr>
      <w:r>
        <w:rPr>
          <w:rFonts w:ascii="Arial" w:cs="Arial" w:eastAsia="Arial" w:hAnsi="Arial"/>
          <w:sz w:val="17"/>
          <w:szCs w:val="17"/>
          <w:color w:val="auto"/>
        </w:rPr>
        <w:t>Executive’s material breach of any of her obligations under any written agreement or covenant with the Company.</w:t>
      </w:r>
    </w:p>
    <w:p>
      <w:pPr>
        <w:spacing w:after="0" w:line="232" w:lineRule="exact"/>
        <w:rPr>
          <w:rFonts w:ascii="Arial" w:cs="Arial" w:eastAsia="Arial" w:hAnsi="Arial"/>
          <w:sz w:val="17"/>
          <w:szCs w:val="17"/>
          <w:color w:val="auto"/>
        </w:rPr>
      </w:pPr>
    </w:p>
    <w:p>
      <w:pPr>
        <w:ind w:left="1780" w:hanging="475"/>
        <w:spacing w:after="0"/>
        <w:tabs>
          <w:tab w:leader="none" w:pos="1780" w:val="left"/>
        </w:tabs>
        <w:numPr>
          <w:ilvl w:val="1"/>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“Change in Control” shall have the meaning ascribed to such term in the Company’s 2012 Omnibus Equity</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Incentive Plan.</w:t>
      </w:r>
    </w:p>
    <w:p>
      <w:pPr>
        <w:spacing w:after="0" w:line="206" w:lineRule="exact"/>
        <w:rPr>
          <w:rFonts w:ascii="Arial" w:cs="Arial" w:eastAsia="Arial" w:hAnsi="Arial"/>
          <w:sz w:val="17"/>
          <w:szCs w:val="17"/>
          <w:color w:val="auto"/>
        </w:rPr>
      </w:pPr>
    </w:p>
    <w:p>
      <w:pPr>
        <w:ind w:left="1680" w:hanging="375"/>
        <w:spacing w:after="0"/>
        <w:tabs>
          <w:tab w:leader="none" w:pos="1680"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“Code” means the Internal Revenue Code of 1986, as amended.</w:t>
      </w:r>
    </w:p>
    <w:p>
      <w:pPr>
        <w:spacing w:after="0" w:line="225" w:lineRule="exact"/>
        <w:rPr>
          <w:rFonts w:ascii="Arial" w:cs="Arial" w:eastAsia="Arial" w:hAnsi="Arial"/>
          <w:sz w:val="18"/>
          <w:szCs w:val="18"/>
          <w:color w:val="auto"/>
        </w:rPr>
      </w:pPr>
    </w:p>
    <w:p>
      <w:pPr>
        <w:jc w:val="both"/>
        <w:ind w:firstLine="1305"/>
        <w:spacing w:after="0" w:line="266" w:lineRule="auto"/>
        <w:tabs>
          <w:tab w:leader="none" w:pos="1727"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“Disability” or “Disabled” means that Executive is unable to engage in any substantial gainful activity by reason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medically determinable physical or mental impairment which can be expected to result in death or which has lasted, or can be expected to last, for a continuous period of not less than one (1)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8" w:right="239" w:bottom="1440" w:gutter="0" w:footer="0" w:header="0"/>
        </w:sectPr>
      </w:pPr>
    </w:p>
    <w:bookmarkStart w:id="47" w:name="page48"/>
    <w:bookmarkEnd w:id="47"/>
    <w:p>
      <w:pPr>
        <w:ind w:right="20" w:firstLine="1305"/>
        <w:spacing w:after="0" w:line="282" w:lineRule="auto"/>
        <w:tabs>
          <w:tab w:leader="none" w:pos="169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“Good Reason” means Executive’s termination of employment within ninety (90) days following the expiration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cure period (discussed below) following the occurrence, without Executive’s consent, of one or more of the following:</w:t>
      </w:r>
    </w:p>
    <w:p>
      <w:pPr>
        <w:spacing w:after="0" w:line="165" w:lineRule="exact"/>
        <w:rPr>
          <w:rFonts w:ascii="Arial" w:cs="Arial" w:eastAsia="Arial" w:hAnsi="Arial"/>
          <w:sz w:val="18"/>
          <w:szCs w:val="18"/>
          <w:color w:val="auto"/>
        </w:rPr>
      </w:pPr>
    </w:p>
    <w:p>
      <w:pPr>
        <w:jc w:val="both"/>
        <w:ind w:firstLine="1953"/>
        <w:spacing w:after="0" w:line="264" w:lineRule="auto"/>
        <w:tabs>
          <w:tab w:leader="none" w:pos="248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material reduction of Executive’s duties, authority or responsibilities, relative to Executive’s duties, authority or responsibilities in effect immediately prior to such reduction; provided, however, that, in the context of a Change in Control, not being named the Chief Marketing Officer of the acquiring corporation following such Change in Control will not constitute Good Reason;</w:t>
      </w:r>
    </w:p>
    <w:p>
      <w:pPr>
        <w:spacing w:after="0" w:line="181" w:lineRule="exact"/>
        <w:rPr>
          <w:rFonts w:ascii="Arial" w:cs="Arial" w:eastAsia="Arial" w:hAnsi="Arial"/>
          <w:sz w:val="18"/>
          <w:szCs w:val="18"/>
          <w:color w:val="auto"/>
        </w:rPr>
      </w:pPr>
    </w:p>
    <w:p>
      <w:pPr>
        <w:ind w:right="20" w:firstLine="1953"/>
        <w:spacing w:after="0" w:line="342" w:lineRule="auto"/>
        <w:tabs>
          <w:tab w:leader="none" w:pos="2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material reduction in Executive’s base compensation (except where there is a reduction applicable to all similarly situated executive officers generally); provided, that a reduction of less than ten percent (10%) will not be considered a material reduction in base compensation;</w:t>
      </w:r>
    </w:p>
    <w:p>
      <w:pPr>
        <w:spacing w:after="0" w:line="123" w:lineRule="exact"/>
        <w:rPr>
          <w:rFonts w:ascii="Arial" w:cs="Arial" w:eastAsia="Arial" w:hAnsi="Arial"/>
          <w:sz w:val="16"/>
          <w:szCs w:val="16"/>
          <w:color w:val="auto"/>
        </w:rPr>
      </w:pPr>
    </w:p>
    <w:p>
      <w:pPr>
        <w:ind w:firstLine="1953"/>
        <w:spacing w:after="0" w:line="308" w:lineRule="auto"/>
        <w:tabs>
          <w:tab w:leader="none" w:pos="2407" w:val="left"/>
        </w:tabs>
        <w:numPr>
          <w:ilvl w:val="1"/>
          <w:numId w:val="22"/>
        </w:numPr>
        <w:rPr>
          <w:rFonts w:ascii="Arial" w:cs="Arial" w:eastAsia="Arial" w:hAnsi="Arial"/>
          <w:sz w:val="17"/>
          <w:szCs w:val="17"/>
          <w:color w:val="auto"/>
        </w:rPr>
      </w:pPr>
      <w:r>
        <w:rPr>
          <w:rFonts w:ascii="Arial" w:cs="Arial" w:eastAsia="Arial" w:hAnsi="Arial"/>
          <w:sz w:val="17"/>
          <w:szCs w:val="17"/>
          <w:color w:val="auto"/>
        </w:rPr>
        <w:t>A material change in the geographic location of Executive’s primary work facility or location; provided, that a relocation of less than thirty-five (35) miles from Executive’s then-present work location will not be considered a material change in geographic location; or</w:t>
      </w:r>
    </w:p>
    <w:p>
      <w:pPr>
        <w:spacing w:after="0" w:line="146" w:lineRule="exact"/>
        <w:rPr>
          <w:rFonts w:ascii="Arial" w:cs="Arial" w:eastAsia="Arial" w:hAnsi="Arial"/>
          <w:sz w:val="17"/>
          <w:szCs w:val="17"/>
          <w:color w:val="auto"/>
        </w:rPr>
      </w:pPr>
    </w:p>
    <w:p>
      <w:pPr>
        <w:ind w:left="2380" w:hanging="427"/>
        <w:spacing w:after="0"/>
        <w:tabs>
          <w:tab w:leader="none" w:pos="2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material breach by the Company of a material provision of this Agreement.</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Executive will not resign for Good Reason without first providing the Company with written notice within sixty (60) days of the event that Executive believes constitutes “Good Reason” specifically identifying the acts or omissions constituting the grounds for Good Reason and a reasonable cure period of not less than thirty (30) days following the date of such notice during which such condition must not have been cured.</w:t>
      </w:r>
    </w:p>
    <w:p>
      <w:pPr>
        <w:spacing w:after="0" w:line="162" w:lineRule="exact"/>
        <w:rPr>
          <w:sz w:val="20"/>
          <w:szCs w:val="20"/>
          <w:color w:val="auto"/>
        </w:rPr>
      </w:pPr>
    </w:p>
    <w:p>
      <w:pPr>
        <w:ind w:left="1700" w:hanging="395"/>
        <w:spacing w:after="0"/>
        <w:tabs>
          <w:tab w:leader="none" w:pos="1700"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color w:val="auto"/>
        </w:rPr>
        <w:t>. “Section 409A” means Code Section 409A, and the final regulations and any guidance promulgated thereunder or any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 law equivalent.</w:t>
      </w:r>
    </w:p>
    <w:p>
      <w:pPr>
        <w:spacing w:after="0" w:line="206" w:lineRule="exact"/>
        <w:rPr>
          <w:rFonts w:ascii="Arial" w:cs="Arial" w:eastAsia="Arial" w:hAnsi="Arial"/>
          <w:sz w:val="16"/>
          <w:szCs w:val="16"/>
          <w:color w:val="auto"/>
        </w:rPr>
      </w:pPr>
    </w:p>
    <w:p>
      <w:pPr>
        <w:jc w:val="both"/>
        <w:ind w:firstLine="1305"/>
        <w:spacing w:after="0" w:line="258" w:lineRule="auto"/>
        <w:tabs>
          <w:tab w:leader="none" w:pos="1686"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 Limit</w:t>
      </w:r>
      <w:r>
        <w:rPr>
          <w:rFonts w:ascii="Arial" w:cs="Arial" w:eastAsia="Arial" w:hAnsi="Arial"/>
          <w:sz w:val="18"/>
          <w:szCs w:val="18"/>
          <w:color w:val="auto"/>
        </w:rPr>
        <w:t>. “Section 409A Limit” will mean two (2) times the lesser of: (i) Executive’s annualized compensation based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83" w:lineRule="exact"/>
        <w:rPr>
          <w:rFonts w:ascii="Arial" w:cs="Arial" w:eastAsia="Arial" w:hAnsi="Arial"/>
          <w:sz w:val="18"/>
          <w:szCs w:val="18"/>
          <w:color w:val="auto"/>
        </w:rPr>
      </w:pPr>
    </w:p>
    <w:p>
      <w:pPr>
        <w:ind w:left="1700" w:hanging="395"/>
        <w:spacing w:after="0"/>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 Period</w:t>
      </w:r>
      <w:r>
        <w:rPr>
          <w:rFonts w:ascii="Arial" w:cs="Arial" w:eastAsia="Arial" w:hAnsi="Arial"/>
          <w:sz w:val="18"/>
          <w:szCs w:val="18"/>
          <w:color w:val="auto"/>
        </w:rPr>
        <w:t>. “Severance Period” shall mean six (6) months.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Pre-Employment Conditions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1305"/>
        <w:spacing w:after="0" w:line="266" w:lineRule="auto"/>
        <w:tabs>
          <w:tab w:leader="none" w:pos="1676"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Non-Disclosure Agreement</w:t>
      </w:r>
      <w:r>
        <w:rPr>
          <w:rFonts w:ascii="Arial" w:cs="Arial" w:eastAsia="Arial" w:hAnsi="Arial"/>
          <w:sz w:val="18"/>
          <w:szCs w:val="18"/>
          <w:color w:val="auto"/>
        </w:rPr>
        <w:t>. Your acceptance of this offer and your Employment with the Company is contingent upon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delivery to an officer of the Company, of the Company’s Non-Disclosure Agreement, in the form attached hereto as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Non-Disclosure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prior to or on your Start Date.</w:t>
      </w:r>
    </w:p>
    <w:p>
      <w:pPr>
        <w:spacing w:after="0" w:line="176" w:lineRule="exact"/>
        <w:rPr>
          <w:rFonts w:ascii="Arial" w:cs="Arial" w:eastAsia="Arial" w:hAnsi="Arial"/>
          <w:sz w:val="18"/>
          <w:szCs w:val="18"/>
          <w:color w:val="auto"/>
        </w:rPr>
      </w:pPr>
    </w:p>
    <w:p>
      <w:pPr>
        <w:jc w:val="both"/>
        <w:ind w:firstLine="1305"/>
        <w:spacing w:after="0" w:line="266" w:lineRule="auto"/>
        <w:tabs>
          <w:tab w:leader="none" w:pos="1740"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Work</w:t>
      </w:r>
      <w:r>
        <w:rPr>
          <w:rFonts w:ascii="Arial" w:cs="Arial" w:eastAsia="Arial" w:hAnsi="Arial"/>
          <w:sz w:val="18"/>
          <w:szCs w:val="18"/>
          <w:color w:val="auto"/>
        </w:rPr>
        <w:t>. For purposes of federal immigration law, you will be required, if you haven’t already, to provide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documentary evidence of your identity and eligibility for employment in the United States. Such documentation must be provided to us within three (3) business days of your Start Date, or our Employment relationship with you may be terminated.</w:t>
      </w:r>
    </w:p>
    <w:p>
      <w:pPr>
        <w:spacing w:after="0" w:line="176" w:lineRule="exact"/>
        <w:rPr>
          <w:rFonts w:ascii="Arial" w:cs="Arial" w:eastAsia="Arial" w:hAnsi="Arial"/>
          <w:sz w:val="18"/>
          <w:szCs w:val="18"/>
          <w:color w:val="auto"/>
        </w:rPr>
      </w:pPr>
    </w:p>
    <w:p>
      <w:pPr>
        <w:jc w:val="both"/>
        <w:ind w:firstLine="1305"/>
        <w:spacing w:after="0" w:line="258" w:lineRule="auto"/>
        <w:tabs>
          <w:tab w:leader="none" w:pos="1717"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Verification of Information</w:t>
      </w:r>
      <w:r>
        <w:rPr>
          <w:rFonts w:ascii="Arial" w:cs="Arial" w:eastAsia="Arial" w:hAnsi="Arial"/>
          <w:sz w:val="18"/>
          <w:szCs w:val="18"/>
          <w:color w:val="auto"/>
        </w:rPr>
        <w:t>. This Agreement is also contingent upon the successful verification of the information you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during your application process, as well as a general background check performed by the Company to confirm your suitability for Employment. By accepting this Agreement, you warrant that all information provided by you is true and correct to the best of your knowledge, you agree to execute any and all documentation necessary for the Company to conduct a background check and you expressly release the Company from any claim or cause of action arising out of the Company’s verification of such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4" w:right="239" w:bottom="1440" w:gutter="0" w:footer="0" w:header="0"/>
        </w:sectPr>
      </w:pPr>
    </w:p>
    <w:bookmarkStart w:id="48" w:name="page49"/>
    <w:bookmarkEnd w:id="48"/>
    <w:p>
      <w:pPr>
        <w:ind w:left="1060" w:hanging="40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 w:firstLine="1305"/>
        <w:spacing w:after="0" w:line="285" w:lineRule="auto"/>
        <w:tabs>
          <w:tab w:leader="none" w:pos="1676"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any payment or benefit Executive would receive from the Company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Amount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either (x) the largest portion of the Payment that would result in no portion of the Payment being subject to the Excise Tax; or (y)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10(a) shall be made in accordance with the following order of priority: (i) stock options whose exercise price exceeds the fair market value of the optioned stock (“</w:t>
      </w:r>
      <w:r>
        <w:rPr>
          <w:rFonts w:ascii="Arial" w:cs="Arial" w:eastAsia="Arial" w:hAnsi="Arial"/>
          <w:sz w:val="16"/>
          <w:szCs w:val="16"/>
          <w:b w:val="1"/>
          <w:bCs w:val="1"/>
          <w:i w:val="1"/>
          <w:iCs w:val="1"/>
          <w:color w:val="auto"/>
        </w:rPr>
        <w:t>Underwater Options</w:t>
      </w:r>
      <w:r>
        <w:rPr>
          <w:rFonts w:ascii="Arial" w:cs="Arial" w:eastAsia="Arial" w:hAnsi="Arial"/>
          <w:sz w:val="16"/>
          <w:szCs w:val="16"/>
          <w:color w:val="auto"/>
        </w:rPr>
        <w:t>”)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Arial" w:cs="Arial" w:eastAsia="Arial" w:hAnsi="Arial"/>
          <w:sz w:val="16"/>
          <w:szCs w:val="16"/>
          <w:b w:val="1"/>
          <w:bCs w:val="1"/>
          <w:i w:val="1"/>
          <w:iCs w:val="1"/>
          <w:color w:val="auto"/>
        </w:rPr>
        <w:t>Full Credit Payment</w:t>
      </w:r>
      <w:r>
        <w:rPr>
          <w:rFonts w:ascii="Arial" w:cs="Arial" w:eastAsia="Arial" w:hAnsi="Arial"/>
          <w:sz w:val="16"/>
          <w:szCs w:val="16"/>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16"/>
          <w:szCs w:val="16"/>
          <w:b w:val="1"/>
          <w:bCs w:val="1"/>
          <w:i w:val="1"/>
          <w:iCs w:val="1"/>
          <w:color w:val="auto"/>
        </w:rPr>
        <w:t>Partial Credit Payment</w:t>
      </w:r>
      <w:r>
        <w:rPr>
          <w:rFonts w:ascii="Arial" w:cs="Arial" w:eastAsia="Arial" w:hAnsi="Arial"/>
          <w:sz w:val="16"/>
          <w:szCs w:val="16"/>
          <w:color w:val="auto"/>
        </w:rPr>
        <w:t>” means any payment, distribution or benefit that is not a Full Credit Payment. In no event shall Executive have any discretion with respect to the ordering of payment reductions.</w:t>
      </w:r>
    </w:p>
    <w:p>
      <w:pPr>
        <w:spacing w:after="0" w:line="177" w:lineRule="exact"/>
        <w:rPr>
          <w:rFonts w:ascii="Arial" w:cs="Arial" w:eastAsia="Arial" w:hAnsi="Arial"/>
          <w:sz w:val="16"/>
          <w:szCs w:val="16"/>
          <w:color w:val="auto"/>
        </w:rPr>
      </w:pPr>
    </w:p>
    <w:p>
      <w:pPr>
        <w:ind w:right="80" w:firstLine="1305"/>
        <w:spacing w:after="0" w:line="293" w:lineRule="auto"/>
        <w:tabs>
          <w:tab w:leader="none" w:pos="1686" w:val="left"/>
        </w:tabs>
        <w:numPr>
          <w:ilvl w:val="1"/>
          <w:numId w:val="25"/>
        </w:numPr>
        <w:rPr>
          <w:rFonts w:ascii="Arial" w:cs="Arial" w:eastAsia="Arial" w:hAnsi="Arial"/>
          <w:sz w:val="16"/>
          <w:szCs w:val="16"/>
          <w:color w:val="auto"/>
        </w:rPr>
      </w:pPr>
      <w:r>
        <w:rPr>
          <w:rFonts w:ascii="Arial" w:cs="Arial" w:eastAsia="Arial" w:hAnsi="Arial"/>
          <w:sz w:val="16"/>
          <w:szCs w:val="16"/>
          <w:color w:val="auto"/>
        </w:rPr>
        <w:t>Unless the Company and Executive otherwise agree in writing, any determination required under this Section 10 will be made in writing by an independent firm (the “</w:t>
      </w:r>
      <w:r>
        <w:rPr>
          <w:rFonts w:ascii="Arial" w:cs="Arial" w:eastAsia="Arial" w:hAnsi="Arial"/>
          <w:sz w:val="16"/>
          <w:szCs w:val="16"/>
          <w:b w:val="1"/>
          <w:bCs w:val="1"/>
          <w:i w:val="1"/>
          <w:iCs w:val="1"/>
          <w:color w:val="auto"/>
        </w:rPr>
        <w:t>Firm</w:t>
      </w:r>
      <w:r>
        <w:rPr>
          <w:rFonts w:ascii="Arial" w:cs="Arial" w:eastAsia="Arial" w:hAnsi="Arial"/>
          <w:sz w:val="16"/>
          <w:szCs w:val="16"/>
          <w:color w:val="auto"/>
        </w:rPr>
        <w:t>”), whose determination will be conclusive and binding upon Executive and the Company for all purposes. For purposes of making the calculations required by this Section 10,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10. The Company will bear all costs the Firm may reasonably incur in connection with any calculations contemplated by this Section 10.</w:t>
      </w:r>
    </w:p>
    <w:p>
      <w:pPr>
        <w:spacing w:after="0" w:line="160" w:lineRule="exact"/>
        <w:rPr>
          <w:rFonts w:ascii="Arial" w:cs="Arial" w:eastAsia="Arial" w:hAnsi="Arial"/>
          <w:sz w:val="16"/>
          <w:szCs w:val="16"/>
          <w:color w:val="auto"/>
        </w:rPr>
      </w:pPr>
    </w:p>
    <w:p>
      <w:pPr>
        <w:ind w:left="1060" w:hanging="40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8" w:lineRule="auto"/>
        <w:tabs>
          <w:tab w:leader="none" w:pos="1717"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In consideration of your Employment with the Company, its promise to arbitrate all employment</w:t>
      </w:r>
      <w:r>
        <w:rPr>
          <w:rFonts w:ascii="Arial" w:cs="Arial" w:eastAsia="Arial" w:hAnsi="Arial"/>
          <w:sz w:val="18"/>
          <w:szCs w:val="18"/>
          <w:b w:val="1"/>
          <w:bCs w:val="1"/>
          <w:color w:val="auto"/>
        </w:rPr>
        <w:t>-</w:t>
      </w:r>
      <w:r>
        <w:rPr>
          <w:rFonts w:ascii="Arial" w:cs="Arial" w:eastAsia="Arial" w:hAnsi="Arial"/>
          <w:sz w:val="18"/>
          <w:szCs w:val="18"/>
          <w:color w:val="auto"/>
        </w:rPr>
        <w:t>related disputes, and</w:t>
      </w:r>
      <w:r>
        <w:rPr>
          <w:rFonts w:ascii="Arial" w:cs="Arial" w:eastAsia="Arial" w:hAnsi="Arial"/>
          <w:sz w:val="18"/>
          <w:szCs w:val="18"/>
          <w:b w:val="1"/>
          <w:bCs w:val="1"/>
          <w:color w:val="auto"/>
        </w:rPr>
        <w:t xml:space="preserve"> </w:t>
      </w:r>
      <w:r>
        <w:rPr>
          <w:rFonts w:ascii="Arial" w:cs="Arial" w:eastAsia="Arial" w:hAnsi="Arial"/>
          <w:sz w:val="18"/>
          <w:szCs w:val="18"/>
          <w:color w:val="auto"/>
        </w:rPr>
        <w:t>your receipt of the compensation, pay raises and other benefits paid to you by the Company, at present and in the future, you agree that any and all controversies, claims, or disputes with anyone (including the Company and any employee, officer, director, shareholder or benefit plan of the Company in their capacity as such or otherwise) arising out of, relating to, or resulting from your Employment with the Company or termination thereof, including any breach of this Agreement, will be subject to binding arbitration.</w:t>
      </w:r>
    </w:p>
    <w:p>
      <w:pPr>
        <w:spacing w:after="0" w:line="183" w:lineRule="exact"/>
        <w:rPr>
          <w:rFonts w:ascii="Arial" w:cs="Arial" w:eastAsia="Arial" w:hAnsi="Arial"/>
          <w:sz w:val="18"/>
          <w:szCs w:val="18"/>
          <w:color w:val="auto"/>
        </w:rPr>
      </w:pPr>
    </w:p>
    <w:p>
      <w:pPr>
        <w:jc w:val="both"/>
        <w:ind w:firstLine="1305"/>
        <w:spacing w:after="0" w:line="255" w:lineRule="auto"/>
        <w:tabs>
          <w:tab w:leader="none" w:pos="1754"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Disputes that Executive agrees to arbitrate, and thereby agrees to waive any right to a jury trial, include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New York State Human Rights Law, New York Equal Rights Law, New York Whistleblower Protection Law, New York Family Leave Law, New York Equal Pay Law, the New York City Human Rights Law,, claims of harassment, discrimination, and wrongful termination, and any statutory or common law claims. Executive further understands that this agreement to arbitrate also applies to any disputes that the Company may have with Executive.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4" w:right="239" w:bottom="1440" w:gutter="0" w:footer="0" w:header="0"/>
        </w:sectPr>
      </w:pPr>
    </w:p>
    <w:bookmarkStart w:id="49" w:name="page50"/>
    <w:bookmarkEnd w:id="49"/>
    <w:p>
      <w:pPr>
        <w:jc w:val="both"/>
        <w:ind w:firstLine="1305"/>
        <w:spacing w:after="0" w:line="289" w:lineRule="auto"/>
        <w:tabs>
          <w:tab w:leader="none" w:pos="1703" w:val="left"/>
        </w:tabs>
        <w:numPr>
          <w:ilvl w:val="1"/>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Procedure</w:t>
      </w:r>
      <w:r>
        <w:rPr>
          <w:rFonts w:ascii="Arial" w:cs="Arial" w:eastAsia="Arial" w:hAnsi="Arial"/>
          <w:sz w:val="16"/>
          <w:szCs w:val="16"/>
          <w:color w:val="auto"/>
        </w:rPr>
        <w:t>. Executive agrees that any arbitration will be administered by Judicial Arbitration &amp;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its Employment Arbitration Rules &amp; Procedures (the “</w:t>
      </w:r>
      <w:r>
        <w:rPr>
          <w:rFonts w:ascii="Arial" w:cs="Arial" w:eastAsia="Arial" w:hAnsi="Arial"/>
          <w:sz w:val="16"/>
          <w:szCs w:val="16"/>
          <w:b w:val="1"/>
          <w:bCs w:val="1"/>
          <w:i w:val="1"/>
          <w:iCs w:val="1"/>
          <w:color w:val="auto"/>
        </w:rPr>
        <w:t>JAMS Rules</w:t>
      </w:r>
      <w:r>
        <w:rPr>
          <w:rFonts w:ascii="Arial" w:cs="Arial" w:eastAsia="Arial" w:hAnsi="Arial"/>
          <w:sz w:val="16"/>
          <w:szCs w:val="16"/>
          <w:color w:val="auto"/>
        </w:rPr>
        <w:t>”). The arbitrator shall have the power to decide any motions brought by any party to the arbitration, including motions for summary judgment and/or adjudication, motions to dismiss and demurrers, and motions for class certification, prior to any arbitration hearing. The arbitrator shall have the power to award any remedies available under applicable law, and the arbitrator shall award attorneys’ fees and costs to the prevailing party, except as prohibited by law. The Company will pay for any administrative or hearing fees charged by the administrator or JAMS, and all arbitrator’s fees, except that Executive shall pay any filing fees associated with any arbitration that Executive initiates, but only so much of the filing fee as Executive would have instead paid had Executive filed a complaint in a court of law. Executive agrees that the arbitrator shall administer and conduct any arbitration in accordance with New York law, and that the arbitrator shall apply substantive and procedural New York law to any dispute or claim, without reference to the rules of conflict of law. To the extent that the JAMS Rules conflict with New York law, New York law shall take precedence. The decision of the arbitrator shall be in writing. Any arbitration under this Agreement shall be conducted in New York County, New York.</w:t>
      </w:r>
    </w:p>
    <w:p>
      <w:pPr>
        <w:spacing w:after="0" w:line="161" w:lineRule="exact"/>
        <w:rPr>
          <w:rFonts w:ascii="Arial" w:cs="Arial" w:eastAsia="Arial" w:hAnsi="Arial"/>
          <w:sz w:val="16"/>
          <w:szCs w:val="16"/>
          <w:color w:val="auto"/>
        </w:rPr>
      </w:pPr>
    </w:p>
    <w:p>
      <w:pPr>
        <w:jc w:val="both"/>
        <w:ind w:firstLine="1305"/>
        <w:spacing w:after="0" w:line="303" w:lineRule="auto"/>
        <w:tabs>
          <w:tab w:leader="none" w:pos="1686" w:val="left"/>
        </w:tabs>
        <w:numPr>
          <w:ilvl w:val="1"/>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Remedy</w:t>
      </w:r>
      <w:r>
        <w:rPr>
          <w:rFonts w:ascii="Arial" w:cs="Arial" w:eastAsia="Arial" w:hAnsi="Arial"/>
          <w:sz w:val="16"/>
          <w:szCs w:val="16"/>
          <w:color w:val="auto"/>
        </w:rPr>
        <w:t>. Except as provided by the Act, arbitration shall be the sole, exclusive, and final remedy for any dispute between you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w:t>
      </w:r>
      <w:r>
        <w:rPr>
          <w:rFonts w:ascii="Arial" w:cs="Arial" w:eastAsia="Arial" w:hAnsi="Arial"/>
          <w:sz w:val="16"/>
          <w:szCs w:val="16"/>
          <w:b w:val="1"/>
          <w:bCs w:val="1"/>
          <w:color w:val="auto"/>
        </w:rPr>
        <w:t>Accordingly, except as provided by the Act and this Agreement, neither you nor the Company will be permitted to pursue court action</w:t>
      </w:r>
      <w:r>
        <w:rPr>
          <w:rFonts w:ascii="Arial" w:cs="Arial" w:eastAsia="Arial" w:hAnsi="Arial"/>
          <w:sz w:val="16"/>
          <w:szCs w:val="16"/>
          <w:color w:val="auto"/>
        </w:rPr>
        <w:t xml:space="preserve"> </w:t>
      </w:r>
      <w:r>
        <w:rPr>
          <w:rFonts w:ascii="Arial" w:cs="Arial" w:eastAsia="Arial" w:hAnsi="Arial"/>
          <w:sz w:val="16"/>
          <w:szCs w:val="16"/>
          <w:b w:val="1"/>
          <w:bCs w:val="1"/>
          <w:color w:val="auto"/>
        </w:rPr>
        <w:t>regarding claims that are subject to arbitration</w:t>
      </w:r>
      <w:r>
        <w:rPr>
          <w:rFonts w:ascii="Arial" w:cs="Arial" w:eastAsia="Arial" w:hAnsi="Arial"/>
          <w:sz w:val="16"/>
          <w:szCs w:val="16"/>
          <w:color w:val="auto"/>
        </w:rPr>
        <w:t>. Notwithstanding, the arbitrator will not have the authority to disregard or refuse to enforce any lawful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policy, and the arbitrator will not order or require the Company to adopt a policy not otherwise required by law that the Company has not adopted.</w:t>
      </w:r>
    </w:p>
    <w:p>
      <w:pPr>
        <w:spacing w:after="0" w:line="151" w:lineRule="exact"/>
        <w:rPr>
          <w:rFonts w:ascii="Arial" w:cs="Arial" w:eastAsia="Arial" w:hAnsi="Arial"/>
          <w:sz w:val="16"/>
          <w:szCs w:val="16"/>
          <w:color w:val="auto"/>
        </w:rPr>
      </w:pPr>
    </w:p>
    <w:p>
      <w:pPr>
        <w:jc w:val="both"/>
        <w:ind w:firstLine="1305"/>
        <w:spacing w:after="0" w:line="261" w:lineRule="auto"/>
        <w:tabs>
          <w:tab w:leader="none" w:pos="1676" w:val="left"/>
        </w:tabs>
        <w:numPr>
          <w:ilvl w:val="1"/>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Administrative Relief</w:t>
      </w:r>
      <w:r>
        <w:rPr>
          <w:rFonts w:ascii="Arial" w:cs="Arial" w:eastAsia="Arial" w:hAnsi="Arial"/>
          <w:sz w:val="18"/>
          <w:szCs w:val="18"/>
          <w:color w:val="auto"/>
        </w:rPr>
        <w:t>. You are not prohibited from pursuing an administrative claim with a local, state, or federal administrative body</w:t>
      </w:r>
      <w:r>
        <w:rPr>
          <w:rFonts w:ascii="Arial" w:cs="Arial" w:eastAsia="Arial" w:hAnsi="Arial"/>
          <w:sz w:val="18"/>
          <w:szCs w:val="18"/>
          <w:b w:val="1"/>
          <w:bCs w:val="1"/>
          <w:color w:val="auto"/>
        </w:rPr>
        <w:t xml:space="preserve"> </w:t>
      </w:r>
      <w:r>
        <w:rPr>
          <w:rFonts w:ascii="Arial" w:cs="Arial" w:eastAsia="Arial" w:hAnsi="Arial"/>
          <w:sz w:val="18"/>
          <w:szCs w:val="18"/>
          <w:color w:val="auto"/>
        </w:rPr>
        <w:t>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you may not pursue court action regarding any such claim, except as permitted by law.</w:t>
      </w:r>
    </w:p>
    <w:p>
      <w:pPr>
        <w:spacing w:after="0" w:line="180" w:lineRule="exact"/>
        <w:rPr>
          <w:rFonts w:ascii="Arial" w:cs="Arial" w:eastAsia="Arial" w:hAnsi="Arial"/>
          <w:sz w:val="18"/>
          <w:szCs w:val="18"/>
          <w:color w:val="auto"/>
        </w:rPr>
      </w:pPr>
    </w:p>
    <w:p>
      <w:pPr>
        <w:jc w:val="both"/>
        <w:ind w:firstLine="1305"/>
        <w:spacing w:after="0" w:line="258" w:lineRule="auto"/>
        <w:tabs>
          <w:tab w:leader="none" w:pos="1724" w:val="left"/>
        </w:tabs>
        <w:numPr>
          <w:ilvl w:val="1"/>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Voluntary Nature of Agreement</w:t>
      </w:r>
      <w:r>
        <w:rPr>
          <w:rFonts w:ascii="Arial" w:cs="Arial" w:eastAsia="Arial" w:hAnsi="Arial"/>
          <w:sz w:val="18"/>
          <w:szCs w:val="18"/>
          <w:color w:val="auto"/>
        </w:rPr>
        <w:t>. You acknowledge and agree that you are executing this Agreement voluntarily and without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duress or undue influence by the Company or anyone else. You further acknowledge and agree that you have carefully read this Agreement and that you have asked any questions needed for you to understand the terms, consequences and binding effect of this Agreement and fully understand it, including that </w:t>
      </w:r>
      <w:r>
        <w:rPr>
          <w:rFonts w:ascii="Arial" w:cs="Arial" w:eastAsia="Arial" w:hAnsi="Arial"/>
          <w:sz w:val="18"/>
          <w:szCs w:val="18"/>
          <w:b w:val="1"/>
          <w:bCs w:val="1"/>
          <w:i w:val="1"/>
          <w:iCs w:val="1"/>
          <w:color w:val="auto"/>
        </w:rPr>
        <w:t>YOU</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ARE WAIVING YOUR RIGHT TO A JURY TRIAL</w:t>
      </w:r>
      <w:r>
        <w:rPr>
          <w:rFonts w:ascii="Arial" w:cs="Arial" w:eastAsia="Arial" w:hAnsi="Arial"/>
          <w:sz w:val="18"/>
          <w:szCs w:val="18"/>
          <w:color w:val="auto"/>
        </w:rPr>
        <w:t>. Finally, you agree that you have been provided an opportunity to seek the advice of an attorney of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choice before signing this Agreement.</w:t>
      </w:r>
    </w:p>
    <w:p>
      <w:pPr>
        <w:spacing w:after="0" w:line="183" w:lineRule="exact"/>
        <w:rPr>
          <w:rFonts w:ascii="Arial" w:cs="Arial" w:eastAsia="Arial" w:hAnsi="Arial"/>
          <w:sz w:val="18"/>
          <w:szCs w:val="18"/>
          <w:color w:val="auto"/>
        </w:rPr>
      </w:pPr>
    </w:p>
    <w:p>
      <w:pPr>
        <w:ind w:left="1060" w:hanging="40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1305"/>
        <w:spacing w:after="0" w:line="289" w:lineRule="auto"/>
        <w:tabs>
          <w:tab w:leader="none" w:pos="1730" w:val="left"/>
        </w:tabs>
        <w:numPr>
          <w:ilvl w:val="1"/>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any successor (whether direct or indirect and whether by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lease, merger, consolidation, liquidation or otherwise) to all or substantially all of the Company’s business and/or assets. For all purposes under this Agreement, the term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include any successor to the Company’s business or assets that become bound by this Agreement.</w:t>
      </w:r>
    </w:p>
    <w:p>
      <w:pPr>
        <w:spacing w:after="0" w:line="158" w:lineRule="exact"/>
        <w:rPr>
          <w:rFonts w:ascii="Arial" w:cs="Arial" w:eastAsia="Arial" w:hAnsi="Arial"/>
          <w:sz w:val="17"/>
          <w:szCs w:val="17"/>
          <w:color w:val="auto"/>
        </w:rPr>
      </w:pPr>
    </w:p>
    <w:p>
      <w:pPr>
        <w:ind w:right="20" w:firstLine="1305"/>
        <w:spacing w:after="0" w:line="313" w:lineRule="auto"/>
        <w:tabs>
          <w:tab w:leader="none" w:pos="1808" w:val="left"/>
        </w:tabs>
        <w:numPr>
          <w:ilvl w:val="1"/>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Your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all of Executive’s rights hereunder shall inure to the benefit of, and be enforceable by,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personal or legal representatives, executors, administrators, successors, heirs, distributees, devisees and legatees.</w:t>
      </w:r>
    </w:p>
    <w:p>
      <w:pPr>
        <w:spacing w:after="0" w:line="138" w:lineRule="exact"/>
        <w:rPr>
          <w:rFonts w:ascii="Arial" w:cs="Arial" w:eastAsia="Arial" w:hAnsi="Arial"/>
          <w:sz w:val="17"/>
          <w:szCs w:val="17"/>
          <w:color w:val="auto"/>
        </w:rPr>
      </w:pPr>
    </w:p>
    <w:p>
      <w:pPr>
        <w:ind w:left="1060" w:hanging="40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1305"/>
        <w:spacing w:after="0" w:line="266" w:lineRule="auto"/>
        <w:tabs>
          <w:tab w:leader="none" w:pos="1717" w:val="left"/>
        </w:tabs>
        <w:numPr>
          <w:ilvl w:val="1"/>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indemnify Executive to the maximum extent permitted by applicable law and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4" w:right="239" w:bottom="1440" w:gutter="0" w:footer="0" w:header="0"/>
        </w:sectPr>
      </w:pPr>
    </w:p>
    <w:bookmarkStart w:id="50" w:name="page51"/>
    <w:bookmarkEnd w:id="50"/>
    <w:p>
      <w:pPr>
        <w:ind w:left="1720" w:hanging="415"/>
        <w:spacing w:after="0"/>
        <w:tabs>
          <w:tab w:leader="none" w:pos="1720"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1680" w:hanging="375"/>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953"/>
        <w:spacing w:after="0" w:line="302" w:lineRule="auto"/>
        <w:tabs>
          <w:tab w:leader="none" w:pos="2335"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154" w:lineRule="exact"/>
        <w:rPr>
          <w:rFonts w:ascii="Arial" w:cs="Arial" w:eastAsia="Arial" w:hAnsi="Arial"/>
          <w:sz w:val="16"/>
          <w:szCs w:val="16"/>
          <w:color w:val="auto"/>
        </w:rPr>
      </w:pPr>
    </w:p>
    <w:p>
      <w:pPr>
        <w:jc w:val="both"/>
        <w:ind w:firstLine="1953"/>
        <w:spacing w:after="0" w:line="291" w:lineRule="auto"/>
        <w:tabs>
          <w:tab w:leader="none" w:pos="2358"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13(c)(i)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spacing w:after="0" w:line="163" w:lineRule="exact"/>
        <w:rPr>
          <w:rFonts w:ascii="Arial" w:cs="Arial" w:eastAsia="Arial" w:hAnsi="Arial"/>
          <w:sz w:val="16"/>
          <w:szCs w:val="16"/>
          <w:color w:val="auto"/>
        </w:rPr>
      </w:pPr>
    </w:p>
    <w:p>
      <w:pPr>
        <w:jc w:val="both"/>
        <w:ind w:firstLine="1305"/>
        <w:spacing w:after="0" w:line="261" w:lineRule="auto"/>
        <w:tabs>
          <w:tab w:leader="none" w:pos="1686"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Modifications and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No provision of this Agreement shall be modified, waived or discharged unless the modification, waiver</w:t>
      </w:r>
      <w:r>
        <w:rPr>
          <w:rFonts w:ascii="Arial" w:cs="Arial" w:eastAsia="Arial" w:hAnsi="Arial"/>
          <w:sz w:val="18"/>
          <w:szCs w:val="18"/>
          <w:b w:val="1"/>
          <w:bCs w:val="1"/>
          <w:color w:val="auto"/>
        </w:rPr>
        <w:t xml:space="preserve"> </w:t>
      </w:r>
      <w:r>
        <w:rPr>
          <w:rFonts w:ascii="Arial" w:cs="Arial" w:eastAsia="Arial" w:hAnsi="Arial"/>
          <w:sz w:val="18"/>
          <w:szCs w:val="18"/>
          <w:color w:val="auto"/>
        </w:rPr>
        <w:t>or discharge is agreed to in writing and signed by Executive and by an authorized officer of the Company (other than Executive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0" w:lineRule="exact"/>
        <w:rPr>
          <w:rFonts w:ascii="Arial" w:cs="Arial" w:eastAsia="Arial" w:hAnsi="Arial"/>
          <w:sz w:val="18"/>
          <w:szCs w:val="18"/>
          <w:color w:val="auto"/>
        </w:rPr>
      </w:pPr>
    </w:p>
    <w:p>
      <w:pPr>
        <w:jc w:val="both"/>
        <w:ind w:firstLine="1305"/>
        <w:spacing w:after="0" w:line="258" w:lineRule="auto"/>
        <w:tabs>
          <w:tab w:leader="none" w:pos="169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Whole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other agreements, representations or understandings (whether oral or written and whether express or implied)</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expressly set forth in this Agreement have been made or entered into by either party with respect to the subject matter hereof, except for the Non-Disclosure Agreement, the RSU Agreement and any other equity award entered into in connection with this Agreement (the “Ancillary Documents”), each of which form a part of this entire Agreement. This Agreement and the Ancillary Documents contain the entire understanding of the parties with respect to the subject matter hereof.</w:t>
      </w:r>
    </w:p>
    <w:p>
      <w:pPr>
        <w:spacing w:after="0" w:line="183" w:lineRule="exact"/>
        <w:rPr>
          <w:rFonts w:ascii="Arial" w:cs="Arial" w:eastAsia="Arial" w:hAnsi="Arial"/>
          <w:sz w:val="18"/>
          <w:szCs w:val="18"/>
          <w:color w:val="auto"/>
        </w:rPr>
      </w:pPr>
    </w:p>
    <w:p>
      <w:pPr>
        <w:ind w:left="1660" w:hanging="355"/>
        <w:spacing w:after="0"/>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b w:val="1"/>
          <w:bCs w:val="1"/>
          <w:color w:val="auto"/>
        </w:rPr>
        <w:t xml:space="preserve">. </w:t>
      </w:r>
      <w:r>
        <w:rPr>
          <w:rFonts w:ascii="Arial" w:cs="Arial" w:eastAsia="Arial" w:hAnsi="Arial"/>
          <w:sz w:val="16"/>
          <w:szCs w:val="16"/>
          <w:color w:val="auto"/>
        </w:rPr>
        <w:t>All payments made under this Agreement shall be subject to reduction to reflect taxes or other charges required to</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withheld by law.</w:t>
      </w:r>
    </w:p>
    <w:p>
      <w:pPr>
        <w:spacing w:after="0" w:line="206" w:lineRule="exact"/>
        <w:rPr>
          <w:rFonts w:ascii="Arial" w:cs="Arial" w:eastAsia="Arial" w:hAnsi="Arial"/>
          <w:sz w:val="16"/>
          <w:szCs w:val="16"/>
          <w:color w:val="auto"/>
        </w:rPr>
      </w:pPr>
    </w:p>
    <w:p>
      <w:pPr>
        <w:jc w:val="both"/>
        <w:ind w:firstLine="1305"/>
        <w:spacing w:after="0" w:line="272" w:lineRule="auto"/>
        <w:tabs>
          <w:tab w:leader="none" w:pos="1700"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Choice of Law and 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interpreted in accordance with the laws of the State of New York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Arial" w:cs="Arial" w:eastAsia="Arial" w:hAnsi="Arial"/>
          <w:sz w:val="17"/>
          <w:szCs w:val="17"/>
          <w:b w:val="1"/>
          <w:bCs w:val="1"/>
          <w:i w:val="1"/>
          <w:iCs w:val="1"/>
          <w:color w:val="auto"/>
        </w:rPr>
        <w:t>Law</w:t>
      </w:r>
      <w:r>
        <w:rPr>
          <w:rFonts w:ascii="Arial" w:cs="Arial" w:eastAsia="Arial" w:hAnsi="Arial"/>
          <w:sz w:val="17"/>
          <w:szCs w:val="17"/>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72" w:lineRule="exact"/>
        <w:rPr>
          <w:rFonts w:ascii="Arial" w:cs="Arial" w:eastAsia="Arial" w:hAnsi="Arial"/>
          <w:sz w:val="17"/>
          <w:szCs w:val="17"/>
          <w:color w:val="auto"/>
        </w:rPr>
      </w:pPr>
    </w:p>
    <w:p>
      <w:pPr>
        <w:jc w:val="both"/>
        <w:ind w:firstLine="1305"/>
        <w:spacing w:after="0" w:line="266" w:lineRule="auto"/>
        <w:tabs>
          <w:tab w:leader="none" w:pos="1713"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No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all of your rights and obligations hereunder are personal to you and may not be transferred or</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by you at any time. The Company may assign its rights under this Agreement to any entity that assumes the Company’s obligations hereunder in connection with any sale or transfer to such entity of all or a substantial portion of the Company’s assets.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64" w:right="239" w:bottom="1440" w:gutter="0" w:footer="0" w:header="0"/>
        </w:sectPr>
      </w:pPr>
    </w:p>
    <w:bookmarkStart w:id="51" w:name="page52"/>
    <w:bookmarkEnd w:id="51"/>
    <w:p>
      <w:pPr>
        <w:jc w:val="both"/>
        <w:ind w:left="-20" w:firstLine="1305"/>
        <w:spacing w:after="0" w:line="266" w:lineRule="auto"/>
        <w:tabs>
          <w:tab w:leader="none" w:pos="1721"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w:t>
      </w:r>
      <w:r>
        <w:rPr>
          <w:rFonts w:ascii="Arial" w:cs="Arial" w:eastAsia="Arial" w:hAnsi="Arial"/>
          <w:sz w:val="18"/>
          <w:szCs w:val="18"/>
          <w:color w:val="auto"/>
        </w:rPr>
        <w:t>. You acknowledge that you have had the opportunity to discuss this matter with and obtain advice from your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attorney, have had sufficient time to, and have carefully read and fully understand all the provisions of this Agreement, and are knowingly and voluntarily entering into this Agreement.</w:t>
      </w:r>
    </w:p>
    <w:p>
      <w:pPr>
        <w:spacing w:after="0" w:line="176" w:lineRule="exact"/>
        <w:rPr>
          <w:rFonts w:ascii="Arial" w:cs="Arial" w:eastAsia="Arial" w:hAnsi="Arial"/>
          <w:sz w:val="18"/>
          <w:szCs w:val="18"/>
          <w:color w:val="auto"/>
        </w:rPr>
      </w:pPr>
    </w:p>
    <w:p>
      <w:pPr>
        <w:ind w:left="-20" w:right="20" w:firstLine="1305"/>
        <w:spacing w:after="0" w:line="282" w:lineRule="auto"/>
        <w:tabs>
          <w:tab w:leader="none" w:pos="1667"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or more counterparts, each of which shall be deemed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60" w:top="364" w:right="239" w:bottom="1440" w:gutter="0" w:footer="0" w:header="0"/>
        </w:sectPr>
      </w:pPr>
    </w:p>
    <w:bookmarkStart w:id="52" w:name="page53"/>
    <w:bookmarkEnd w:id="52"/>
    <w:p>
      <w:pPr>
        <w:ind w:firstLine="648"/>
        <w:spacing w:after="0" w:line="277" w:lineRule="auto"/>
        <w:rPr>
          <w:sz w:val="20"/>
          <w:szCs w:val="20"/>
          <w:color w:val="auto"/>
        </w:rPr>
      </w:pPr>
      <w:r>
        <w:rPr>
          <w:rFonts w:ascii="Arial" w:cs="Arial" w:eastAsia="Arial" w:hAnsi="Arial"/>
          <w:sz w:val="18"/>
          <w:szCs w:val="18"/>
          <w:color w:val="auto"/>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SHUTTERSTOCK, INC.</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Timothy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948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Timothy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-10160</wp:posOffset>
            </wp:positionV>
            <wp:extent cx="812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2165" cy="8890"/>
                    </a:xfrm>
                    <a:prstGeom prst="rect">
                      <a:avLst/>
                    </a:prstGeom>
                    <a:noFill/>
                  </pic:spPr>
                </pic:pic>
              </a:graphicData>
            </a:graphic>
          </wp:anchor>
        </w:drawing>
      </w:r>
    </w:p>
    <w:p>
      <w:pPr>
        <w:spacing w:after="0" w:line="20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-10160</wp:posOffset>
            </wp:positionV>
            <wp:extent cx="1178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85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ADITI GOKHALE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Aditi Gokhale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01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2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4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6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u w:val="single" w:color="auto"/>
          <w:color w:val="auto"/>
        </w:rPr>
        <w:t>ATTACHMENT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NON-DISCLOSURE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9019"/>
          </w:cols>
          <w:pgMar w:left="1440" w:top="369"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Mutual Separation Agreement and General Release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3,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Aditi Gokhale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Murray Street, Apt. 6J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Aditi,</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When signed below in the places indicated, the following shall constitute an agreement (the “Agreement”) between you (“you” or “Employee”) and Shutterstock, Inc. (“Shutterstock” or “Company”).</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Your employment as an “at-will employee” of Shutterstock will end at the close of business on November 13, 2015 (“Effective Resignation Date”).</w:t>
      </w:r>
    </w:p>
    <w:p>
      <w:pPr>
        <w:spacing w:after="0" w:line="261" w:lineRule="exact"/>
        <w:rPr>
          <w:rFonts w:ascii="Arial" w:cs="Arial" w:eastAsia="Arial" w:hAnsi="Arial"/>
          <w:sz w:val="16"/>
          <w:szCs w:val="16"/>
          <w:color w:val="auto"/>
        </w:rPr>
      </w:pPr>
    </w:p>
    <w:p>
      <w:pPr>
        <w:ind w:left="1340" w:hanging="333"/>
        <w:spacing w:after="0"/>
        <w:tabs>
          <w:tab w:leader="none" w:pos="1340" w:val="left"/>
        </w:tabs>
        <w:numPr>
          <w:ilvl w:val="3"/>
          <w:numId w:val="31"/>
        </w:numPr>
        <w:rPr>
          <w:rFonts w:ascii="Arial" w:cs="Arial" w:eastAsia="Arial" w:hAnsi="Arial"/>
          <w:sz w:val="18"/>
          <w:szCs w:val="18"/>
          <w:color w:val="auto"/>
        </w:rPr>
      </w:pPr>
      <w:r>
        <w:rPr>
          <w:rFonts w:ascii="Arial" w:cs="Arial" w:eastAsia="Arial" w:hAnsi="Arial"/>
          <w:sz w:val="18"/>
          <w:szCs w:val="18"/>
          <w:color w:val="auto"/>
        </w:rPr>
        <w:t>You will be paid your current salary through the close of business on the Effective Resignation Date;</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3"/>
          <w:numId w:val="31"/>
        </w:numPr>
        <w:rPr>
          <w:rFonts w:ascii="Arial" w:cs="Arial" w:eastAsia="Arial" w:hAnsi="Arial"/>
          <w:sz w:val="17"/>
          <w:szCs w:val="17"/>
          <w:color w:val="auto"/>
        </w:rPr>
      </w:pPr>
      <w:r>
        <w:rPr>
          <w:rFonts w:ascii="Arial" w:cs="Arial" w:eastAsia="Arial" w:hAnsi="Arial"/>
          <w:sz w:val="17"/>
          <w:szCs w:val="17"/>
          <w:color w:val="auto"/>
        </w:rPr>
        <w:t>You will be paid for unused paid time off days accrued through the Effective Resignation Date in accordance with Company policy;</w:t>
      </w:r>
    </w:p>
    <w:p>
      <w:pPr>
        <w:spacing w:after="0" w:line="223" w:lineRule="exact"/>
        <w:rPr>
          <w:rFonts w:ascii="Arial" w:cs="Arial" w:eastAsia="Arial" w:hAnsi="Arial"/>
          <w:sz w:val="17"/>
          <w:szCs w:val="17"/>
          <w:color w:val="auto"/>
        </w:rPr>
      </w:pPr>
    </w:p>
    <w:p>
      <w:pPr>
        <w:ind w:left="1340" w:right="40" w:hanging="333"/>
        <w:spacing w:after="0" w:line="319" w:lineRule="auto"/>
        <w:tabs>
          <w:tab w:leader="none" w:pos="1340" w:val="left"/>
        </w:tabs>
        <w:numPr>
          <w:ilvl w:val="3"/>
          <w:numId w:val="31"/>
        </w:numPr>
        <w:rPr>
          <w:rFonts w:ascii="Arial" w:cs="Arial" w:eastAsia="Arial" w:hAnsi="Arial"/>
          <w:sz w:val="17"/>
          <w:szCs w:val="17"/>
          <w:color w:val="auto"/>
        </w:rPr>
      </w:pPr>
      <w:r>
        <w:rPr>
          <w:rFonts w:ascii="Arial" w:cs="Arial" w:eastAsia="Arial" w:hAnsi="Arial"/>
          <w:sz w:val="17"/>
          <w:szCs w:val="17"/>
          <w:color w:val="auto"/>
        </w:rPr>
        <w:t>On the Effective Resignation Date, you will be automatically withdrawn from Shutterstock’s Employee Stock Purchase Plan (“ESPP”), and any payroll deductions credited to your ESPP account during the “offering period” (as said term is defined in the ESPP) but not used to purchase shares of Company stock will be returned to you (without interest) in accordance with the ESPP;</w:t>
      </w:r>
    </w:p>
    <w:p>
      <w:pPr>
        <w:spacing w:after="0" w:line="125" w:lineRule="exact"/>
        <w:rPr>
          <w:rFonts w:ascii="Arial" w:cs="Arial" w:eastAsia="Arial" w:hAnsi="Arial"/>
          <w:sz w:val="17"/>
          <w:szCs w:val="17"/>
          <w:color w:val="auto"/>
        </w:rPr>
      </w:pPr>
    </w:p>
    <w:p>
      <w:pPr>
        <w:ind w:left="1340" w:right="200" w:hanging="333"/>
        <w:spacing w:after="0" w:line="295" w:lineRule="auto"/>
        <w:tabs>
          <w:tab w:leader="none" w:pos="1340" w:val="left"/>
        </w:tabs>
        <w:numPr>
          <w:ilvl w:val="3"/>
          <w:numId w:val="31"/>
        </w:numPr>
        <w:rPr>
          <w:rFonts w:ascii="Arial" w:cs="Arial" w:eastAsia="Arial" w:hAnsi="Arial"/>
          <w:sz w:val="18"/>
          <w:szCs w:val="18"/>
          <w:color w:val="auto"/>
        </w:rPr>
      </w:pPr>
      <w:r>
        <w:rPr>
          <w:rFonts w:ascii="Arial" w:cs="Arial" w:eastAsia="Arial" w:hAnsi="Arial"/>
          <w:sz w:val="18"/>
          <w:szCs w:val="18"/>
          <w:color w:val="auto"/>
        </w:rPr>
        <w:t>Upon your resignation, your rights in respect of any restricted stock units (“RSUs”) granted to you shall cease in accordance with the Restricted Stock Unit Award Agreement and Shutterstock’s 2012 Omnibus Equity Incentive Plan (the “Plan”) and all RSUs issued to you under the Plan shall be immediately cancelled; and</w:t>
      </w:r>
    </w:p>
    <w:p>
      <w:pPr>
        <w:spacing w:after="0" w:line="141" w:lineRule="exact"/>
        <w:rPr>
          <w:rFonts w:ascii="Arial" w:cs="Arial" w:eastAsia="Arial" w:hAnsi="Arial"/>
          <w:sz w:val="18"/>
          <w:szCs w:val="18"/>
          <w:color w:val="auto"/>
        </w:rPr>
      </w:pPr>
    </w:p>
    <w:p>
      <w:pPr>
        <w:ind w:left="1340" w:right="320" w:hanging="333"/>
        <w:spacing w:after="0" w:line="309" w:lineRule="auto"/>
        <w:tabs>
          <w:tab w:leader="none" w:pos="1340" w:val="left"/>
        </w:tabs>
        <w:numPr>
          <w:ilvl w:val="3"/>
          <w:numId w:val="31"/>
        </w:numPr>
        <w:rPr>
          <w:rFonts w:ascii="Arial" w:cs="Arial" w:eastAsia="Arial" w:hAnsi="Arial"/>
          <w:sz w:val="18"/>
          <w:szCs w:val="18"/>
          <w:color w:val="auto"/>
        </w:rPr>
      </w:pPr>
      <w:r>
        <w:rPr>
          <w:rFonts w:ascii="Arial" w:cs="Arial" w:eastAsia="Arial" w:hAnsi="Arial"/>
          <w:sz w:val="18"/>
          <w:szCs w:val="18"/>
          <w:color w:val="auto"/>
        </w:rPr>
        <w:t>You agree to work with the Company on a schedule of matters to be completed prior to the Effective Resignation Date (collectively, the “Transition Duties”), which shall be mutually agreed upon in writing by the parties.</w:t>
      </w:r>
    </w:p>
    <w:p>
      <w:pPr>
        <w:spacing w:after="0" w:line="128" w:lineRule="exact"/>
        <w:rPr>
          <w:rFonts w:ascii="Arial" w:cs="Arial" w:eastAsia="Arial" w:hAnsi="Arial"/>
          <w:sz w:val="18"/>
          <w:szCs w:val="18"/>
          <w:color w:val="auto"/>
        </w:rPr>
      </w:pPr>
    </w:p>
    <w:p>
      <w:pPr>
        <w:ind w:left="680" w:right="120" w:hanging="321"/>
        <w:spacing w:after="0" w:line="295" w:lineRule="auto"/>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wishes to settle any claims that you may or could assert in connection with your employment with, or resignation from Shutterstock. Accordingly, notwithstanding your resignation of employment, subject to the timely execution and delivery (and not revoking) hereof and in consideration of the Transition Duties and agreements contained herein:</w:t>
      </w:r>
    </w:p>
    <w:p>
      <w:pPr>
        <w:spacing w:after="0" w:line="357" w:lineRule="exact"/>
        <w:rPr>
          <w:rFonts w:ascii="Arial" w:cs="Arial" w:eastAsia="Arial" w:hAnsi="Arial"/>
          <w:sz w:val="18"/>
          <w:szCs w:val="18"/>
          <w:color w:val="auto"/>
        </w:rPr>
      </w:pPr>
    </w:p>
    <w:p>
      <w:pPr>
        <w:ind w:left="1320" w:right="40" w:hanging="326"/>
        <w:spacing w:after="0" w:line="309" w:lineRule="auto"/>
        <w:tabs>
          <w:tab w:leader="none" w:pos="1320" w:val="left"/>
        </w:tabs>
        <w:numPr>
          <w:ilvl w:val="2"/>
          <w:numId w:val="31"/>
        </w:numPr>
        <w:rPr>
          <w:rFonts w:ascii="Arial" w:cs="Arial" w:eastAsia="Arial" w:hAnsi="Arial"/>
          <w:sz w:val="17"/>
          <w:szCs w:val="17"/>
          <w:color w:val="auto"/>
        </w:rPr>
      </w:pPr>
      <w:r>
        <w:rPr>
          <w:rFonts w:ascii="Arial" w:cs="Arial" w:eastAsia="Arial" w:hAnsi="Arial"/>
          <w:sz w:val="17"/>
          <w:szCs w:val="17"/>
          <w:color w:val="auto"/>
        </w:rPr>
        <w:t>You will be entitled to an aggregate payment in the amount of $275,000.00, less all applicable taxes and withholdings, payable in two equal installments. The first payment shall be made within fifteen business days of the “Effective Date” (as defined in Section 4(b)) of this Agreement and the second payment shall be made within fifteen business days of the one year anniversary of the Effective Date (the “Payment Period”). Except in the event of your breach of this or any other Agreement between you and Shutterstock, such payments shall be made regardless of your employment by another company during the Payment Period; and</w:t>
      </w:r>
    </w:p>
    <w:p>
      <w:pPr>
        <w:sectPr>
          <w:pgSz w:w="11900" w:h="16838" w:orient="portrait"/>
          <w:cols w:equalWidth="0" w:num="1">
            <w:col w:w="11420"/>
          </w:cols>
          <w:pgMar w:left="240" w:top="364" w:right="239" w:bottom="1440" w:gutter="0" w:footer="0" w:header="0"/>
        </w:sectPr>
      </w:pPr>
    </w:p>
    <w:bookmarkStart w:id="55" w:name="page56"/>
    <w:bookmarkEnd w:id="55"/>
    <w:p>
      <w:pPr>
        <w:jc w:val="both"/>
        <w:ind w:left="961" w:hanging="326"/>
        <w:spacing w:after="0" w:line="329" w:lineRule="auto"/>
        <w:tabs>
          <w:tab w:leader="none" w:pos="961" w:val="left"/>
        </w:tabs>
        <w:numPr>
          <w:ilvl w:val="1"/>
          <w:numId w:val="32"/>
        </w:numPr>
        <w:rPr>
          <w:rFonts w:ascii="Arial" w:cs="Arial" w:eastAsia="Arial" w:hAnsi="Arial"/>
          <w:sz w:val="16"/>
          <w:szCs w:val="16"/>
          <w:color w:val="auto"/>
        </w:rPr>
      </w:pPr>
      <w:r>
        <w:rPr>
          <w:rFonts w:ascii="Arial" w:cs="Arial" w:eastAsia="Arial" w:hAnsi="Arial"/>
          <w:sz w:val="16"/>
          <w:szCs w:val="16"/>
          <w:color w:val="222222"/>
        </w:rPr>
        <w:t xml:space="preserve">The Company will be responsible for payment for continued health coverage for you and your covered dependents under the Consolidated Omnibus Budget and Reconciliation Act (“COBRA”) beginning the month immediately following the month of the Effective Resignation Date </w:t>
      </w:r>
      <w:r>
        <w:rPr>
          <w:rFonts w:ascii="Arial" w:cs="Arial" w:eastAsia="Arial" w:hAnsi="Arial"/>
          <w:sz w:val="16"/>
          <w:szCs w:val="16"/>
          <w:color w:val="000000"/>
        </w:rPr>
        <w:t>and ending upon the earlier of (i) the one year anniversary of the Effective Resignation Date; and (ii) the date upon which you become</w:t>
      </w:r>
      <w:r>
        <w:rPr>
          <w:rFonts w:ascii="Arial" w:cs="Arial" w:eastAsia="Arial" w:hAnsi="Arial"/>
          <w:sz w:val="16"/>
          <w:szCs w:val="16"/>
          <w:color w:val="222222"/>
        </w:rPr>
        <w:t xml:space="preserve"> </w:t>
      </w:r>
      <w:r>
        <w:rPr>
          <w:rFonts w:ascii="Arial" w:cs="Arial" w:eastAsia="Arial" w:hAnsi="Arial"/>
          <w:sz w:val="16"/>
          <w:szCs w:val="16"/>
          <w:color w:val="000000"/>
        </w:rPr>
        <w:t>eligible for coverage under another employer’s group health plan. After the date any subsidized COBRA ends, and pursuant to COBRA regulations, you may continue such coverage for the remainder of your COBRA continuation period by paying the applicable COBRA rate. Under separate cover, you will receive notice of your rights to continue your medical benefits pursuant to COBRA.</w:t>
      </w:r>
    </w:p>
    <w:p>
      <w:pPr>
        <w:spacing w:after="0" w:line="107" w:lineRule="exact"/>
        <w:rPr>
          <w:rFonts w:ascii="Arial" w:cs="Arial" w:eastAsia="Arial" w:hAnsi="Arial"/>
          <w:sz w:val="16"/>
          <w:szCs w:val="16"/>
          <w:color w:val="auto"/>
        </w:rPr>
      </w:pPr>
    </w:p>
    <w:p>
      <w:pPr>
        <w:ind w:left="321" w:right="380" w:hanging="321"/>
        <w:spacing w:after="0" w:line="258" w:lineRule="auto"/>
        <w:tabs>
          <w:tab w:leader="none" w:pos="3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this Agreement does not become effective and irrevocable pursuant to Section 4(b) hereof within thirty (30) days of the Effective Resignation Date, you will not be entitled to any of the benefits set forth under Section 2 hereof.</w:t>
      </w:r>
    </w:p>
    <w:p>
      <w:pPr>
        <w:spacing w:after="0" w:line="1" w:lineRule="exact"/>
        <w:rPr>
          <w:rFonts w:ascii="Arial" w:cs="Arial" w:eastAsia="Arial" w:hAnsi="Arial"/>
          <w:sz w:val="18"/>
          <w:szCs w:val="18"/>
          <w:color w:val="auto"/>
        </w:rPr>
      </w:pPr>
    </w:p>
    <w:p>
      <w:pPr>
        <w:ind w:left="321" w:hanging="321"/>
        <w:spacing w:after="0"/>
        <w:tabs>
          <w:tab w:leader="none" w:pos="32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Agreement is intended to satisfy the requirements of the Older Workers’ Benefit Protection Act (the “OWBPA”), 29 U.S.C. sec. 626(f).</w:t>
      </w:r>
    </w:p>
    <w:p>
      <w:pPr>
        <w:spacing w:after="0" w:line="222" w:lineRule="exact"/>
        <w:rPr>
          <w:rFonts w:ascii="Arial" w:cs="Arial" w:eastAsia="Arial" w:hAnsi="Arial"/>
          <w:sz w:val="17"/>
          <w:szCs w:val="17"/>
          <w:color w:val="auto"/>
        </w:rPr>
      </w:pPr>
    </w:p>
    <w:p>
      <w:pPr>
        <w:ind w:left="981" w:hanging="333"/>
        <w:spacing w:after="0" w:line="325" w:lineRule="auto"/>
        <w:tabs>
          <w:tab w:leader="none" w:pos="981" w:val="left"/>
        </w:tabs>
        <w:numPr>
          <w:ilvl w:val="1"/>
          <w:numId w:val="33"/>
        </w:numPr>
        <w:rPr>
          <w:rFonts w:ascii="Arial" w:cs="Arial" w:eastAsia="Arial" w:hAnsi="Arial"/>
          <w:sz w:val="16"/>
          <w:szCs w:val="16"/>
          <w:color w:val="auto"/>
        </w:rPr>
      </w:pPr>
      <w:r>
        <w:rPr>
          <w:rFonts w:ascii="Arial" w:cs="Arial" w:eastAsia="Arial" w:hAnsi="Arial"/>
          <w:sz w:val="16"/>
          <w:szCs w:val="16"/>
          <w:color w:val="auto"/>
        </w:rPr>
        <w:t>You acknowledge and agree that (i) you have read and understand the terms of this Agreement; (ii) you are advised to consult with an attorney before executing this Agreement, and you have been represented by legal counsel in connection with the signing of this Agreement or you have waived your right to such representation; (iii) you understand that the Company hereby gives you a period of twenty-one (21) days to review and consider this Agreement before signing it. You further understand that you may use as much of this twenty-one (21) day period as you wish prior to signing. However, if you fail to sign this Agreement before the twenty-one (21) day period expires, this Agreement will terminate automatically and you will have no rights hereunder or under any equity agreement with Shutterstock. Changes to this Agreement, material or otherwise, will not extend the aforementioned twenty-one (21) day period. You also agree and acknowledge that the consideration provided to you under this Agreement is in addition to anything of value to which you are already entitled.</w:t>
      </w:r>
    </w:p>
    <w:p>
      <w:pPr>
        <w:spacing w:after="0" w:line="127" w:lineRule="exact"/>
        <w:rPr>
          <w:rFonts w:ascii="Arial" w:cs="Arial" w:eastAsia="Arial" w:hAnsi="Arial"/>
          <w:sz w:val="16"/>
          <w:szCs w:val="16"/>
          <w:color w:val="auto"/>
        </w:rPr>
      </w:pPr>
    </w:p>
    <w:p>
      <w:pPr>
        <w:ind w:left="981" w:right="80" w:hanging="333"/>
        <w:spacing w:after="0" w:line="285" w:lineRule="auto"/>
        <w:tabs>
          <w:tab w:leader="none" w:pos="981" w:val="left"/>
        </w:tabs>
        <w:numPr>
          <w:ilvl w:val="2"/>
          <w:numId w:val="33"/>
        </w:numPr>
        <w:rPr>
          <w:rFonts w:ascii="Arial" w:cs="Arial" w:eastAsia="Arial" w:hAnsi="Arial"/>
          <w:sz w:val="17"/>
          <w:szCs w:val="17"/>
          <w:color w:val="auto"/>
        </w:rPr>
      </w:pPr>
      <w:r>
        <w:rPr>
          <w:rFonts w:ascii="Arial" w:cs="Arial" w:eastAsia="Arial" w:hAnsi="Arial"/>
          <w:sz w:val="17"/>
          <w:szCs w:val="17"/>
          <w:color w:val="auto"/>
        </w:rPr>
        <w:t>You may revoke this Agreement for a period of seven (7) days following the day you sign same (the “Revocation Period”). Any revocation must be submitted, in writing, to Shutterstock, Inc. 350 Fifth Avenue, 21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Floor, New York, New York 10118 Attention: General Counsel, and must state, “I hereby revoke my acceptance of my Mutual Separation Agreement and General Release Agreement”. This Agreement shall not become effective or enforceable until the expiration of the Revocation Period (the “Effective Date”). If the last day of the Revocation Period is a Saturday, Sunday or legal holiday recognized by the State of New York, then the Revocation Period shall not expire until the next following day which is not a Saturday, Sunday or legal holiday. If you revoke this Agreement, it shall not be effective or enforceable, and you will not receive the benefits described in Section 2.</w:t>
      </w:r>
    </w:p>
    <w:p>
      <w:pPr>
        <w:spacing w:after="0" w:line="156" w:lineRule="exact"/>
        <w:rPr>
          <w:rFonts w:ascii="Arial" w:cs="Arial" w:eastAsia="Arial" w:hAnsi="Arial"/>
          <w:sz w:val="17"/>
          <w:szCs w:val="17"/>
          <w:color w:val="auto"/>
        </w:rPr>
      </w:pPr>
    </w:p>
    <w:p>
      <w:pPr>
        <w:ind w:left="981" w:right="260" w:hanging="333"/>
        <w:spacing w:after="0" w:line="290" w:lineRule="auto"/>
        <w:tabs>
          <w:tab w:leader="none" w:pos="981" w:val="left"/>
        </w:tabs>
        <w:numPr>
          <w:ilvl w:val="2"/>
          <w:numId w:val="33"/>
        </w:numPr>
        <w:rPr>
          <w:rFonts w:ascii="Arial" w:cs="Arial" w:eastAsia="Arial" w:hAnsi="Arial"/>
          <w:sz w:val="18"/>
          <w:szCs w:val="18"/>
          <w:color w:val="auto"/>
        </w:rPr>
      </w:pPr>
      <w:r>
        <w:rPr>
          <w:rFonts w:ascii="Arial" w:cs="Arial" w:eastAsia="Arial" w:hAnsi="Arial"/>
          <w:sz w:val="18"/>
          <w:szCs w:val="18"/>
          <w:color w:val="auto"/>
        </w:rPr>
        <w:t>Preserved Rights of Employee. This Agreement does not waive or release any rights or claims that you may have under the Age Discrimination in Employment Act of 1967 (the “ADEA”) that arise after the execution of this Agreement. In addition, this Agreement does not prohibit you from challenging the validity of this Agreement’s waiver and release of claims under the ADEA or the OWBPA or commencing an action or preceding to enforce this Agreement.</w:t>
      </w:r>
    </w:p>
    <w:p>
      <w:pPr>
        <w:spacing w:after="0" w:line="147" w:lineRule="exact"/>
        <w:rPr>
          <w:rFonts w:ascii="Arial" w:cs="Arial" w:eastAsia="Arial" w:hAnsi="Arial"/>
          <w:sz w:val="18"/>
          <w:szCs w:val="18"/>
          <w:color w:val="auto"/>
        </w:rPr>
      </w:pPr>
    </w:p>
    <w:p>
      <w:pPr>
        <w:ind w:left="321" w:right="280" w:hanging="321"/>
        <w:spacing w:after="0" w:line="295" w:lineRule="auto"/>
        <w:tabs>
          <w:tab w:leader="none" w:pos="3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expressly set forth in this Agreement, you shall not be entitled to any other compensation, including but not limited to salary, front pay, back pay, vacation pay, severance, commissions or bonuses from Shutterstock with respect to your employment with or resignation from Shutterstock.</w:t>
      </w:r>
    </w:p>
    <w:p>
      <w:pPr>
        <w:sectPr>
          <w:pgSz w:w="11900" w:h="16838" w:orient="portrait"/>
          <w:cols w:equalWidth="0" w:num="1">
            <w:col w:w="11061"/>
          </w:cols>
          <w:pgMar w:left="599" w:top="463" w:right="239" w:bottom="1440" w:gutter="0" w:footer="0" w:header="0"/>
        </w:sectPr>
      </w:pPr>
    </w:p>
    <w:bookmarkStart w:id="56" w:name="page57"/>
    <w:bookmarkEnd w:id="56"/>
    <w:p>
      <w:pPr>
        <w:ind w:left="321" w:hanging="321"/>
        <w:spacing w:after="0"/>
        <w:tabs>
          <w:tab w:leader="none" w:pos="3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28" w:lineRule="exact"/>
        <w:rPr>
          <w:sz w:val="20"/>
          <w:szCs w:val="20"/>
          <w:color w:val="auto"/>
        </w:rPr>
      </w:pPr>
    </w:p>
    <w:p>
      <w:pPr>
        <w:ind w:left="1"/>
        <w:spacing w:after="0"/>
        <w:rPr>
          <w:sz w:val="20"/>
          <w:szCs w:val="20"/>
          <w:color w:val="auto"/>
        </w:rPr>
      </w:pPr>
      <w:r>
        <w:rPr>
          <w:rFonts w:ascii="Arial" w:cs="Arial" w:eastAsia="Arial" w:hAnsi="Arial"/>
          <w:sz w:val="18"/>
          <w:szCs w:val="18"/>
          <w:color w:val="auto"/>
        </w:rPr>
        <w:t>7.</w:t>
      </w:r>
    </w:p>
    <w:p>
      <w:pPr>
        <w:spacing w:after="0" w:line="212" w:lineRule="exact"/>
        <w:rPr>
          <w:sz w:val="20"/>
          <w:szCs w:val="20"/>
          <w:color w:val="auto"/>
        </w:rPr>
      </w:pPr>
    </w:p>
    <w:p>
      <w:pPr>
        <w:ind w:left="981" w:hanging="333"/>
        <w:spacing w:after="0" w:line="319" w:lineRule="auto"/>
        <w:tabs>
          <w:tab w:leader="none" w:pos="98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For and in consideration of the payments and benefits enumerated in Section 2, and for other valuable consideration to be provided to you pursuant to this Agreement, the receipt and sufficiency of which you hereby acknowledge, provided that the “Company Releasees” (as said term is hereinafter defined) do not breach the material terms of this Mutual Separation Agreement and General Release, including, without limitation, Sections 2, 7c. and 11, you, for yourself, your heirs, executors, administrators, trustees, legal representatives, successors and assigns (collectively referred to as “Employee Releasors”), hereby forever release and discharge Shutterstock and any of its employees, officers, shareholders, investors, subsidiaries, joint ventures, affiliates, divisions, employee benefit and/or pension plans or funds, successors and assigns and any of their past, present or future directors, officers, attorneys, agents, trustees, administrators, employees, or assigns (whether acting as agents or in their individual capacities) (collectively referred to as “Company Releasees”), from any and all claims, demands, causes of action, contracts, suits, proceedings, debts, damages and liabilities, in law or equity, known or unknown, whether asserted or not, arising out of or relating to your employment by or performance of services for Shutterstock or the end of such employment or services, including without limitation any claims relating to a wrongful, premature or discriminatory end of your employment and/or any and all claims under any and all federal, state or local laws including, but not limited to the fair employment practice laws of all jurisdictions, states, municipalities and localities, including, but not limited to Title VII of the Civil Rights Act of 1964, as amended, 42 U.S.C. </w:t>
      </w:r>
      <w:r>
        <w:rPr>
          <w:rFonts w:ascii="Arial" w:cs="Arial" w:eastAsia="Arial" w:hAnsi="Arial"/>
          <w:sz w:val="16"/>
          <w:szCs w:val="16"/>
          <w:b w:val="1"/>
          <w:bCs w:val="1"/>
          <w:color w:val="auto"/>
        </w:rPr>
        <w:t>§</w:t>
      </w:r>
      <w:r>
        <w:rPr>
          <w:rFonts w:ascii="Arial" w:cs="Arial" w:eastAsia="Arial" w:hAnsi="Arial"/>
          <w:sz w:val="16"/>
          <w:szCs w:val="16"/>
          <w:color w:val="auto"/>
        </w:rPr>
        <w:t xml:space="preserve">2000 </w:t>
      </w:r>
      <w:r>
        <w:rPr>
          <w:rFonts w:ascii="Arial" w:cs="Arial" w:eastAsia="Arial" w:hAnsi="Arial"/>
          <w:sz w:val="16"/>
          <w:szCs w:val="16"/>
          <w:u w:val="single" w:color="auto"/>
          <w:color w:val="auto"/>
        </w:rPr>
        <w:t>et seq</w:t>
      </w:r>
      <w:r>
        <w:rPr>
          <w:rFonts w:ascii="Arial" w:cs="Arial" w:eastAsia="Arial" w:hAnsi="Arial"/>
          <w:sz w:val="16"/>
          <w:szCs w:val="16"/>
          <w:color w:val="auto"/>
        </w:rPr>
        <w:t>., the Civil Rights Act of 1991, the Older Workers Benefit Protection Act, the Age Discrimination in Employment Act of 1967, as amended, 29 U.S.C</w:t>
      </w:r>
      <w:r>
        <w:rPr>
          <w:rFonts w:ascii="Arial" w:cs="Arial" w:eastAsia="Arial" w:hAnsi="Arial"/>
          <w:sz w:val="16"/>
          <w:szCs w:val="16"/>
          <w:b w:val="1"/>
          <w:bCs w:val="1"/>
          <w:color w:val="auto"/>
        </w:rPr>
        <w:t>. §</w:t>
      </w:r>
      <w:r>
        <w:rPr>
          <w:rFonts w:ascii="Arial" w:cs="Arial" w:eastAsia="Arial" w:hAnsi="Arial"/>
          <w:sz w:val="16"/>
          <w:szCs w:val="16"/>
          <w:color w:val="auto"/>
        </w:rPr>
        <w:t xml:space="preserve">621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Americans With Disabilities Act of 1990, 42 U.S.C. </w:t>
      </w:r>
      <w:r>
        <w:rPr>
          <w:rFonts w:ascii="Arial" w:cs="Arial" w:eastAsia="Arial" w:hAnsi="Arial"/>
          <w:sz w:val="16"/>
          <w:szCs w:val="16"/>
          <w:b w:val="1"/>
          <w:bCs w:val="1"/>
          <w:color w:val="auto"/>
        </w:rPr>
        <w:t>§</w:t>
      </w:r>
      <w:r>
        <w:rPr>
          <w:rFonts w:ascii="Arial" w:cs="Arial" w:eastAsia="Arial" w:hAnsi="Arial"/>
          <w:sz w:val="16"/>
          <w:szCs w:val="16"/>
          <w:color w:val="auto"/>
        </w:rPr>
        <w:t xml:space="preserve">1211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Consolidated Omnibus Budget Reconciliation Act of 1985, the Immigration Reform and Control Act of 1986, the Civil Rights Act of 1866, 42 U.S.C. </w:t>
      </w:r>
      <w:r>
        <w:rPr>
          <w:rFonts w:ascii="Arial" w:cs="Arial" w:eastAsia="Arial" w:hAnsi="Arial"/>
          <w:sz w:val="16"/>
          <w:szCs w:val="16"/>
          <w:b w:val="1"/>
          <w:bCs w:val="1"/>
          <w:color w:val="auto"/>
        </w:rPr>
        <w:t>§</w:t>
      </w:r>
      <w:r>
        <w:rPr>
          <w:rFonts w:ascii="Arial" w:cs="Arial" w:eastAsia="Arial" w:hAnsi="Arial"/>
          <w:sz w:val="16"/>
          <w:szCs w:val="16"/>
          <w:color w:val="auto"/>
        </w:rPr>
        <w:t xml:space="preserve">1982, the Employee Retirement Income Security Act of 1974; the Family and Medical Leave Act of 1993, the Genetic Information Non-Discrimination Act of 2008; the Worker Adjustment and Retraining Notification Act, 29 U.S.C. </w:t>
      </w:r>
      <w:r>
        <w:rPr>
          <w:rFonts w:ascii="Arial" w:cs="Arial" w:eastAsia="Arial" w:hAnsi="Arial"/>
          <w:sz w:val="16"/>
          <w:szCs w:val="16"/>
          <w:b w:val="1"/>
          <w:bCs w:val="1"/>
          <w:color w:val="auto"/>
        </w:rPr>
        <w:t>§</w:t>
      </w:r>
      <w:r>
        <w:rPr>
          <w:rFonts w:ascii="Arial" w:cs="Arial" w:eastAsia="Arial" w:hAnsi="Arial"/>
          <w:sz w:val="16"/>
          <w:szCs w:val="16"/>
          <w:color w:val="auto"/>
        </w:rPr>
        <w:t xml:space="preserve">2101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New York Executive Law, Article 15, </w:t>
      </w:r>
      <w:r>
        <w:rPr>
          <w:rFonts w:ascii="Arial" w:cs="Arial" w:eastAsia="Arial" w:hAnsi="Arial"/>
          <w:sz w:val="16"/>
          <w:szCs w:val="16"/>
          <w:b w:val="1"/>
          <w:bCs w:val="1"/>
          <w:color w:val="auto"/>
        </w:rPr>
        <w:t>§</w:t>
      </w:r>
      <w:r>
        <w:rPr>
          <w:rFonts w:ascii="Arial" w:cs="Arial" w:eastAsia="Arial" w:hAnsi="Arial"/>
          <w:sz w:val="16"/>
          <w:szCs w:val="16"/>
          <w:color w:val="auto"/>
        </w:rPr>
        <w:t xml:space="preserve">290 </w:t>
      </w:r>
      <w:r>
        <w:rPr>
          <w:rFonts w:ascii="Arial" w:cs="Arial" w:eastAsia="Arial" w:hAnsi="Arial"/>
          <w:sz w:val="16"/>
          <w:szCs w:val="16"/>
          <w:u w:val="single" w:color="auto"/>
          <w:color w:val="auto"/>
        </w:rPr>
        <w:t>et seq</w:t>
      </w:r>
      <w:r>
        <w:rPr>
          <w:rFonts w:ascii="Arial" w:cs="Arial" w:eastAsia="Arial" w:hAnsi="Arial"/>
          <w:sz w:val="16"/>
          <w:szCs w:val="16"/>
          <w:color w:val="auto"/>
        </w:rPr>
        <w:t>., the New York State Labor Law, the New York City Human Rights law; all as amended; and any claims relating to rights under federal, state or local laws prohibiting discrimination on the basis of race, color, creed, ancestry, national origin, age, sex, or other basis prohibited by law, and any other applicable federal, state or local laws or regulations. You expressly waive any and all entitlement you have now, to any relief, such as back pay (to the exclusion of any references in this Agreement), front pay, reinstatement, compensatory damages, punitive damages, as well as all claims, demands, causes of action, and liabilities of any kind whatsoever (upon any legal or equitable theory, whether contractual, common-law, statutory, federal, state, local or otherwise including but not limited to tortious conduct), whether known or unknown, by reason of any act, omission, transaction or occurrence which Employee Releasors ever had, now have or hereafter can, shall or may have arising out of your employment with Shutterstock against the Company Releasees up to and including the Effective Date of this Agreement arising out of your employment with the Company. Notwithstanding the foregoing or Section 7(b) below, you will not release or discharge the Company Releasees from any of Shutterstock’s obligations to you under or pursuant to (1) Section 1, 2, 7 and/or 11 of this Agreement or the enforcement of your rights hereunder or (2) any tax qualified pension plan of Shutterstock.</w:t>
      </w:r>
    </w:p>
    <w:p>
      <w:pPr>
        <w:sectPr>
          <w:pgSz w:w="11900" w:h="16838" w:orient="portrait"/>
          <w:cols w:equalWidth="0" w:num="1">
            <w:col w:w="11061"/>
          </w:cols>
          <w:pgMar w:left="599" w:top="382" w:right="239" w:bottom="1440" w:gutter="0" w:footer="0" w:header="0"/>
        </w:sectPr>
      </w:pPr>
    </w:p>
    <w:bookmarkStart w:id="57" w:name="page58"/>
    <w:bookmarkEnd w:id="57"/>
    <w:p>
      <w:pPr>
        <w:ind w:left="961" w:right="220" w:hanging="326"/>
        <w:spacing w:after="0" w:line="288" w:lineRule="auto"/>
        <w:tabs>
          <w:tab w:leader="none" w:pos="961" w:val="left"/>
        </w:tabs>
        <w:numPr>
          <w:ilvl w:val="1"/>
          <w:numId w:val="36"/>
        </w:numPr>
        <w:rPr>
          <w:rFonts w:ascii="Arial" w:cs="Arial" w:eastAsia="Arial" w:hAnsi="Arial"/>
          <w:sz w:val="18"/>
          <w:szCs w:val="18"/>
          <w:color w:val="auto"/>
        </w:rPr>
      </w:pPr>
      <w:r>
        <w:rPr>
          <w:rFonts w:ascii="Arial" w:cs="Arial" w:eastAsia="Arial" w:hAnsi="Arial"/>
          <w:sz w:val="18"/>
          <w:szCs w:val="18"/>
          <w:color w:val="auto"/>
        </w:rPr>
        <w:t>You understand and agree that this is a full and general release covering all unknown, undisclosed and unanticipated losses, wrongs, injuries, debts, claims or damages to you which may have arisen, or may arise from any act or omission prior to the date of the complete execution of this Agreement, including, without limitation, any claim arising out of or related, directly or indirectly, to your employment, compensation or end of employment, as well as those losses, wrongs, injuries, debts, claims or damages now known or disclosed which may arise as a result of any act or omission as described above.</w:t>
      </w:r>
    </w:p>
    <w:p>
      <w:pPr>
        <w:spacing w:after="0" w:line="189" w:lineRule="exact"/>
        <w:rPr>
          <w:rFonts w:ascii="Arial" w:cs="Arial" w:eastAsia="Arial" w:hAnsi="Arial"/>
          <w:sz w:val="18"/>
          <w:szCs w:val="18"/>
          <w:color w:val="auto"/>
        </w:rPr>
      </w:pPr>
    </w:p>
    <w:p>
      <w:pPr>
        <w:ind w:left="981" w:hanging="333"/>
        <w:spacing w:after="0" w:line="288" w:lineRule="auto"/>
        <w:tabs>
          <w:tab w:leader="none" w:pos="981"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and in consideration of the valuable consideration to be provided to Company pursuant to this Agreement, the receipt and sufficiency of which Company hereby acknowledges, the Company hereby fully, forever, irrevocably and unconditionally releases, remises and discharges Employee from any and all claims arising out of acts undertaken by her in good faith and in a manner she reasonably believed to be in or not opposed to the best interests of the Company; provided, however, that this release does not include any claims arising out of or related to any fraudulent, criminal, or willful misconduct by the Employee.</w:t>
      </w:r>
    </w:p>
    <w:p>
      <w:pPr>
        <w:spacing w:after="0" w:line="149" w:lineRule="exact"/>
        <w:rPr>
          <w:rFonts w:ascii="Arial" w:cs="Arial" w:eastAsia="Arial" w:hAnsi="Arial"/>
          <w:sz w:val="18"/>
          <w:szCs w:val="18"/>
          <w:color w:val="auto"/>
        </w:rPr>
      </w:pPr>
    </w:p>
    <w:p>
      <w:pPr>
        <w:ind w:left="321" w:right="20" w:hanging="321"/>
        <w:spacing w:after="0" w:line="309" w:lineRule="auto"/>
        <w:tabs>
          <w:tab w:leader="none" w:pos="321"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agree that your employment with the Company will end on the Effective Resignation Date. You further acknowledge that no representations have been made to you by the Company (other than in this Agreement) about the benefits that the Company might or might not offer in the future. In the event that you apply for employment with Shutterstock, and/or any of its affiliates and/or subsidiaries, at any time in the future, and your application is rejected, you hereby agree that you shall make no claim of any nature whatsoever against Shutterstock or any of its affiliates arising out of such rejection, including without limitation, a claim of retaliatory rejection.</w:t>
      </w:r>
    </w:p>
    <w:p>
      <w:pPr>
        <w:spacing w:after="0" w:line="132" w:lineRule="exact"/>
        <w:rPr>
          <w:rFonts w:ascii="Arial" w:cs="Arial" w:eastAsia="Arial" w:hAnsi="Arial"/>
          <w:sz w:val="17"/>
          <w:szCs w:val="17"/>
          <w:color w:val="auto"/>
        </w:rPr>
      </w:pPr>
    </w:p>
    <w:p>
      <w:pPr>
        <w:ind w:left="321" w:right="20" w:hanging="321"/>
        <w:spacing w:after="0" w:line="302" w:lineRule="auto"/>
        <w:tabs>
          <w:tab w:leader="none" w:pos="321"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agree that by the Effective Resignation Date, or as soon thereafter as possible, you will return to the Company all Company credit cards, files, memoranda, documents, records and copies of the foregoing, keys, all storage media containing Company information and any other property of the Company or its affiliates in your possession. You represent and warrant that as of the Effective Resignation Date, or as soon thereafter as possible, you will have deleted all files, memoranda, documents and/or records containing Company information from any computer or storage device which you have utilized which is not located on Company premises. The Company acknowledges and agrees that you may retain any documents in your possession concerning employee benefits and/or compensation. You further agree not to disclose, nor use for your benefit or the benefit of any other person or entity, any information received in connection with the Company or its affiliates which is confidential or proprietary and (i) which has not been disclosed publicly by the Company, (ii) which is otherwise not a matter of public knowledge or (iii) which is a matter of public knowledge but you know or have reason to know that such information became a matter of public knowledge through an unauthorized disclosure. You further understand and acknowledge that you continue to be bound by the Shutterstock Inc. Employee Non-Disclosure Agreement executed by you on April 13, 2015 (the “NDA”).</w:t>
      </w:r>
    </w:p>
    <w:p>
      <w:pPr>
        <w:spacing w:after="0" w:line="143" w:lineRule="exact"/>
        <w:rPr>
          <w:rFonts w:ascii="Arial" w:cs="Arial" w:eastAsia="Arial" w:hAnsi="Arial"/>
          <w:sz w:val="17"/>
          <w:szCs w:val="17"/>
          <w:color w:val="auto"/>
        </w:rPr>
      </w:pPr>
    </w:p>
    <w:p>
      <w:pPr>
        <w:ind w:left="321" w:hanging="321"/>
        <w:spacing w:after="0"/>
        <w:tabs>
          <w:tab w:leader="none" w:pos="3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28" w:lineRule="exact"/>
        <w:rPr>
          <w:sz w:val="20"/>
          <w:szCs w:val="20"/>
          <w:color w:val="auto"/>
        </w:rPr>
      </w:pPr>
    </w:p>
    <w:p>
      <w:pPr>
        <w:ind w:left="1"/>
        <w:spacing w:after="0"/>
        <w:rPr>
          <w:sz w:val="20"/>
          <w:szCs w:val="20"/>
          <w:color w:val="auto"/>
        </w:rPr>
      </w:pPr>
      <w:r>
        <w:rPr>
          <w:rFonts w:ascii="Arial" w:cs="Arial" w:eastAsia="Arial" w:hAnsi="Arial"/>
          <w:sz w:val="18"/>
          <w:szCs w:val="18"/>
          <w:color w:val="auto"/>
        </w:rPr>
        <w:t>11.</w:t>
      </w:r>
    </w:p>
    <w:p>
      <w:pPr>
        <w:spacing w:after="0" w:line="212" w:lineRule="exact"/>
        <w:rPr>
          <w:sz w:val="20"/>
          <w:szCs w:val="20"/>
          <w:color w:val="auto"/>
        </w:rPr>
      </w:pPr>
    </w:p>
    <w:p>
      <w:pPr>
        <w:ind w:left="981" w:hanging="333"/>
        <w:spacing w:after="0" w:line="319" w:lineRule="auto"/>
        <w:tabs>
          <w:tab w:leader="none" w:pos="981"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Unless otherwise agreed to in a separate writing signed by you and Company, you promise not to discuss or disclose the terms of your separation from the Company or the amount or nature of the benefits paid to you under this Agreement to any person other than your family members and your attorney and/or financial advisor, should one be consulted, provided that those to whom you may</w:t>
      </w:r>
    </w:p>
    <w:p>
      <w:pPr>
        <w:sectPr>
          <w:pgSz w:w="11900" w:h="16838" w:orient="portrait"/>
          <w:cols w:equalWidth="0" w:num="1">
            <w:col w:w="11061"/>
          </w:cols>
          <w:pgMar w:left="599" w:top="598" w:right="239" w:bottom="1440" w:gutter="0" w:footer="0" w:header="0"/>
        </w:sectPr>
      </w:pPr>
    </w:p>
    <w:bookmarkStart w:id="58" w:name="page59"/>
    <w:bookmarkEnd w:id="58"/>
    <w:p>
      <w:pPr>
        <w:ind w:left="1008"/>
        <w:spacing w:after="0" w:line="370" w:lineRule="auto"/>
        <w:rPr>
          <w:sz w:val="20"/>
          <w:szCs w:val="20"/>
          <w:color w:val="auto"/>
        </w:rPr>
      </w:pPr>
      <w:r>
        <w:rPr>
          <w:rFonts w:ascii="Arial" w:cs="Arial" w:eastAsia="Arial" w:hAnsi="Arial"/>
          <w:sz w:val="17"/>
          <w:szCs w:val="17"/>
          <w:color w:val="auto"/>
        </w:rPr>
        <w:t>make such disclosure agree to keep said information confidential and not disclose it to others. You shall not disparage or make any statement which might adversely affect the reputation of any Releasee. For the purpose of this Agreement, the term “disparage” shall include, without limitation, any statement impugning the reputation or integrity of a Releasee, accusing the aforesaid individual or entity of acting in violation of any law or governmental regulation or of condoning any such action, or otherwise acting in an unprofessional, dishonest, disreputable, improper, incompetent or negligent manner. In addition, the term “disparage” shall include any comments or communications you make to any person regarding personal, intimate, or confidential matters relating any Releasee, and/or any comment or communication, which might have the effect of embarrassing a Releasee in any manner. Nothing herein shall prevent you from including your employment with Shutterstock on your resume.</w:t>
      </w:r>
    </w:p>
    <w:p>
      <w:pPr>
        <w:spacing w:after="0" w:line="115" w:lineRule="exact"/>
        <w:rPr>
          <w:sz w:val="20"/>
          <w:szCs w:val="20"/>
          <w:color w:val="auto"/>
        </w:rPr>
      </w:pPr>
    </w:p>
    <w:p>
      <w:pPr>
        <w:ind w:left="1008" w:right="100" w:hanging="333"/>
        <w:spacing w:after="0" w:line="295" w:lineRule="auto"/>
        <w:tabs>
          <w:tab w:leader="none" w:pos="1008"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Shutterstock agrees that its executive officers shall not disparage, or induce or encourage others to disparage, you at any time; and that Shutterstock shall use commercially reasonable efforts to prevent all other employees from disparaging, or inducing or encouraging others to disparage, you at any time.</w:t>
      </w:r>
    </w:p>
    <w:p>
      <w:pPr>
        <w:spacing w:after="0" w:line="141" w:lineRule="exact"/>
        <w:rPr>
          <w:rFonts w:ascii="Arial" w:cs="Arial" w:eastAsia="Arial" w:hAnsi="Arial"/>
          <w:sz w:val="18"/>
          <w:szCs w:val="18"/>
          <w:color w:val="auto"/>
        </w:rPr>
      </w:pPr>
    </w:p>
    <w:p>
      <w:pPr>
        <w:ind w:left="988" w:right="20" w:hanging="326"/>
        <w:spacing w:after="0" w:line="303" w:lineRule="auto"/>
        <w:tabs>
          <w:tab w:leader="none" w:pos="988" w:val="left"/>
        </w:tabs>
        <w:numPr>
          <w:ilvl w:val="1"/>
          <w:numId w:val="40"/>
        </w:numPr>
        <w:rPr>
          <w:rFonts w:ascii="Arial" w:cs="Arial" w:eastAsia="Arial" w:hAnsi="Arial"/>
          <w:sz w:val="17"/>
          <w:szCs w:val="17"/>
          <w:color w:val="auto"/>
        </w:rPr>
      </w:pPr>
      <w:r>
        <w:rPr>
          <w:rFonts w:ascii="Arial" w:cs="Arial" w:eastAsia="Arial" w:hAnsi="Arial"/>
          <w:sz w:val="17"/>
          <w:szCs w:val="17"/>
          <w:color w:val="222222"/>
        </w:rPr>
        <w:t>You understand that during your employment with Shutterstock you were exposed to Trade Secrets of Shutterstock. Therefore, it is possible that you could gravely harm Shutterstock if you worked for a competitor of Shutterstock anywhere in the world. Accordingly, you agree that for a period of twelve (12) months following the Effective Date, you will not, directly or indirectly (whether as owner, partner, consultant, employee or otherwise) engage in, assist or have an interest in, or enter the employment of or act as an agent, advisor or consultant for, any person or entity which is (a) engaged in or will be engaged in, the development, manufacture, licensing, sale, or otherwise supplying of (1) commercial and editorial digital images, footage, music or related content and/or (2) digital asset management software or services and/or (3) any creative workflow products or services (i.e., “Shutterstock 2.0”, as both parties understand that term as of the Effective Date) ((1), (2) and (3) are collectively the “SSTK Offering”) and (b) competitive with the SSTK Offering. Given the global nature of Shutterstock’s business and the fact that it could be conducted from virtually anywhere, you agree that placing geographical limitations on this non-competition agreement would be contrary to the intention of the parties.</w:t>
      </w:r>
    </w:p>
    <w:p>
      <w:pPr>
        <w:spacing w:after="0" w:line="179" w:lineRule="exact"/>
        <w:rPr>
          <w:rFonts w:ascii="Arial" w:cs="Arial" w:eastAsia="Arial" w:hAnsi="Arial"/>
          <w:sz w:val="17"/>
          <w:szCs w:val="17"/>
          <w:color w:val="auto"/>
        </w:rPr>
      </w:pPr>
    </w:p>
    <w:p>
      <w:pPr>
        <w:jc w:val="both"/>
        <w:ind w:left="988" w:right="60" w:hanging="326"/>
        <w:spacing w:after="0" w:line="295" w:lineRule="auto"/>
        <w:tabs>
          <w:tab w:leader="none" w:pos="9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Human Resources/People Department will reply to all requests for a reference directed to it regarding your employment. The response to such request shall be limited to a statement of the dates of your employment and your position with the Company, or words to that effect and if requested by you, verification of your salary.</w:t>
      </w:r>
    </w:p>
    <w:p>
      <w:pPr>
        <w:spacing w:after="0" w:line="182" w:lineRule="exact"/>
        <w:rPr>
          <w:rFonts w:ascii="Arial" w:cs="Arial" w:eastAsia="Arial" w:hAnsi="Arial"/>
          <w:sz w:val="18"/>
          <w:szCs w:val="18"/>
          <w:color w:val="auto"/>
        </w:rPr>
      </w:pPr>
    </w:p>
    <w:p>
      <w:pPr>
        <w:ind w:left="1008" w:right="240" w:hanging="333"/>
        <w:spacing w:after="0" w:line="309" w:lineRule="auto"/>
        <w:tabs>
          <w:tab w:leader="none" w:pos="1008" w:val="left"/>
        </w:tabs>
        <w:numPr>
          <w:ilvl w:val="2"/>
          <w:numId w:val="40"/>
        </w:numPr>
        <w:rPr>
          <w:rFonts w:ascii="Arial" w:cs="Arial" w:eastAsia="Arial" w:hAnsi="Arial"/>
          <w:sz w:val="18"/>
          <w:szCs w:val="18"/>
          <w:color w:val="auto"/>
        </w:rPr>
      </w:pPr>
      <w:r>
        <w:rPr>
          <w:rFonts w:ascii="Arial" w:cs="Arial" w:eastAsia="Arial" w:hAnsi="Arial"/>
          <w:sz w:val="18"/>
          <w:szCs w:val="18"/>
          <w:color w:val="auto"/>
        </w:rPr>
        <w:t>Company agrees that it will not contest any application you may make for unemployment compensation benefits following the Effective Resignation Date.</w:t>
      </w:r>
    </w:p>
    <w:p>
      <w:pPr>
        <w:spacing w:after="0" w:line="128" w:lineRule="exact"/>
        <w:rPr>
          <w:rFonts w:ascii="Arial" w:cs="Arial" w:eastAsia="Arial" w:hAnsi="Arial"/>
          <w:sz w:val="18"/>
          <w:szCs w:val="18"/>
          <w:color w:val="auto"/>
        </w:rPr>
      </w:pPr>
    </w:p>
    <w:p>
      <w:pPr>
        <w:ind w:left="328" w:hanging="328"/>
        <w:spacing w:after="0" w:line="286"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represent, warrant and agree that you have not filed any lawsuits or arbitrations against Company Releasees, or filed or caused to be filed any claims, charges or complaints against the Company Releasees, in any administrative, judicial, arbitral or other forum, including any charges or complaints against the Company Releasees with any international, federal, state or local agency charged with the enforcement of any law or any self-regulatory organization. You are not aware of any factual or legal basis for any legitimate claim that the Company is in violation of any whistleblower, corporate compliance, or other regulatory obligation of the Company under international, federal, state or local law, rule or the Company policy. You further represent, warrant and agree that if you were ever aware of any such basis for a legitimate claim against the Company, you informed the Company of same.</w:t>
      </w:r>
    </w:p>
    <w:p>
      <w:pPr>
        <w:sectPr>
          <w:pgSz w:w="11900" w:h="16838" w:orient="portrait"/>
          <w:cols w:equalWidth="0" w:num="1">
            <w:col w:w="11068"/>
          </w:cols>
          <w:pgMar w:left="572" w:top="409" w:right="259" w:bottom="1440" w:gutter="0" w:footer="0" w:header="0"/>
        </w:sectPr>
      </w:pPr>
    </w:p>
    <w:bookmarkStart w:id="59" w:name="page60"/>
    <w:bookmarkEnd w:id="59"/>
    <w:p>
      <w:pPr>
        <w:ind w:left="321" w:hanging="321"/>
        <w:spacing w:after="0" w:line="304" w:lineRule="auto"/>
        <w:tabs>
          <w:tab w:leader="none" w:pos="321"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Upon service on you, or anyone acting on your behalf, of any subpoena, order, directive or other legal process requiring you to provide any information pertaining to the Company or its affiliates, or to engage in conduct encompassed within Sections 9 or 11(a) of this Agreement, you or your attorney shall immediately notify the Company of such service and of the content of any testimony or information to be provided pursuant to such subpoena, order, directive or other legal process and within two (2) business days send to the undersigned representative of the Company via overnight delivery (at the Company’ s expense) a copy of the documents that have been served upon you.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you are requested to respond to an inquiry or provide testimony by or before any federal, state or local administrative or regulatory agency or authority about this Agreement or its underlying facts and circumstances, you (or your attorney) should fulfill your obligation to the Company, as set forth in this paragraph, only after you have responded to the inquiry or provided the testimony sought.</w:t>
      </w:r>
    </w:p>
    <w:p>
      <w:pPr>
        <w:spacing w:after="0" w:line="139" w:lineRule="exact"/>
        <w:rPr>
          <w:rFonts w:ascii="Arial" w:cs="Arial" w:eastAsia="Arial" w:hAnsi="Arial"/>
          <w:sz w:val="17"/>
          <w:szCs w:val="17"/>
          <w:color w:val="auto"/>
        </w:rPr>
      </w:pPr>
    </w:p>
    <w:p>
      <w:pPr>
        <w:ind w:left="321" w:right="60" w:hanging="321"/>
        <w:spacing w:after="0" w:line="324" w:lineRule="auto"/>
        <w:tabs>
          <w:tab w:leader="none" w:pos="321"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Nothing in this Agreement, including, but not limited to, Sections 7(a), 9, 11 (a), 12, 13, or 16, shall prohibit or restrict you (or your attorney) from filing a charge, testifying, assisting, or participating in any manner in an investigation, hearing or proceeding; responding to any inquiry; or otherwise communicating with, any administrative or regulatory agency or authority, including, but not limited to, the Equal Employment Opportunity Commission (EEOC) and the National Labor Relations Board (NLRB). To the extent any lawsuits, arbitrations, claims, charges or complaints are filed against the Company in any administrative, judicial, arbitral or other forum, including any charges or complaints against the Company with any international, federal, state or local agency by a third party or otherwise, you expressly waive any claim to any form of monetary or other damages, or any other form of recovery or relief in connection with any such proceeding. If you break any of your promises set forth in Sections 9 or 11(a) of this Agreement, you will pay for all costs incurred by the Company Releasees, including their reasonable attorneys’ fees, in defending against your claims. You shall also repay to the Company the entire monetary consideration you received pursuant to Section 2 above</w:t>
      </w:r>
      <w:r>
        <w:rPr>
          <w:rFonts w:ascii="Arial" w:cs="Arial" w:eastAsia="Arial" w:hAnsi="Arial"/>
          <w:sz w:val="16"/>
          <w:szCs w:val="16"/>
          <w:color w:val="FF0000"/>
          <w:strike w:val="1"/>
        </w:rPr>
        <w:t>.</w:t>
      </w:r>
    </w:p>
    <w:p>
      <w:pPr>
        <w:spacing w:after="0" w:line="127" w:lineRule="exact"/>
        <w:rPr>
          <w:rFonts w:ascii="Arial" w:cs="Arial" w:eastAsia="Arial" w:hAnsi="Arial"/>
          <w:sz w:val="16"/>
          <w:szCs w:val="16"/>
          <w:color w:val="auto"/>
        </w:rPr>
      </w:pPr>
    </w:p>
    <w:p>
      <w:pPr>
        <w:ind w:left="321" w:right="140" w:hanging="321"/>
        <w:spacing w:after="0" w:line="312" w:lineRule="auto"/>
        <w:tabs>
          <w:tab w:leader="none" w:pos="32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parties agree that this Agreement shall not constitute or operate as an acknowledgment or admission of any kind by Shutterstock that it has violated any federal, state, local or municipal statute, regulation or common law, or breached any other legal obligation or duty it has or ever had to you. In addition, you acknowledge that you have disclosed to the Company any information you have concerning any conduct involving the Company, or any of its employees that you have any reason to believe may be unlawful.</w:t>
      </w:r>
    </w:p>
    <w:p>
      <w:pPr>
        <w:spacing w:after="0" w:line="131" w:lineRule="exact"/>
        <w:rPr>
          <w:rFonts w:ascii="Arial" w:cs="Arial" w:eastAsia="Arial" w:hAnsi="Arial"/>
          <w:sz w:val="17"/>
          <w:szCs w:val="17"/>
          <w:color w:val="auto"/>
        </w:rPr>
      </w:pPr>
    </w:p>
    <w:p>
      <w:pPr>
        <w:ind w:left="321" w:right="20" w:hanging="321"/>
        <w:spacing w:after="0" w:line="324" w:lineRule="auto"/>
        <w:tabs>
          <w:tab w:leader="none" w:pos="321" w:val="left"/>
        </w:tabs>
        <w:numPr>
          <w:ilvl w:val="0"/>
          <w:numId w:val="42"/>
        </w:numPr>
        <w:rPr>
          <w:rFonts w:ascii="Arial" w:cs="Arial" w:eastAsia="Arial" w:hAnsi="Arial"/>
          <w:sz w:val="16"/>
          <w:szCs w:val="16"/>
          <w:color w:val="auto"/>
        </w:rPr>
      </w:pPr>
      <w:r>
        <w:rPr>
          <w:rFonts w:ascii="Arial" w:cs="Arial" w:eastAsia="Arial" w:hAnsi="Arial"/>
          <w:sz w:val="16"/>
          <w:szCs w:val="16"/>
          <w:color w:val="auto"/>
        </w:rPr>
        <w:t>You agree to cooperate fully in any investigation the Company undertakes into matters occurring during your employment with the Company. Additionally, you agree that when requested by the Company or third parties with the Company’s consent (“Designated Third Parties”), you will promptly and fully respond to all inquiries from the Company, Designated Third Parties and its/their representatives concerning matters relating to the Company including but not limited to any claims or lawsuits by or against the Company or any third parties. Furthermore, you agree to testify in matters related to the Company when requested by the Company or Designated Third Parties and, for all matters which are not adverse to the Employee, the Company shall reimburse your reasonable expenses incident to such cooperation and provide counsel at Company’s sole expense on your behalf. In the event that you would prefer to have your own counsel, you may do so at your own cost and expense. In the event the Company requires your cooperation, the Company agrees to pay you for all time you devote to such cooperation at a rate not less than the pro-rated hourly rate of your annual compensation at the Effective Resignation Date, plus reasonable travel and expenses.</w:t>
      </w:r>
    </w:p>
    <w:p>
      <w:pPr>
        <w:spacing w:after="0" w:line="127" w:lineRule="exact"/>
        <w:rPr>
          <w:rFonts w:ascii="Arial" w:cs="Arial" w:eastAsia="Arial" w:hAnsi="Arial"/>
          <w:sz w:val="16"/>
          <w:szCs w:val="16"/>
          <w:color w:val="auto"/>
        </w:rPr>
      </w:pPr>
    </w:p>
    <w:p>
      <w:pPr>
        <w:ind w:left="321" w:right="80" w:hanging="321"/>
        <w:spacing w:after="0" w:line="319" w:lineRule="auto"/>
        <w:tabs>
          <w:tab w:leader="none" w:pos="321" w:val="left"/>
        </w:tabs>
        <w:numPr>
          <w:ilvl w:val="0"/>
          <w:numId w:val="42"/>
        </w:numPr>
        <w:rPr>
          <w:rFonts w:ascii="Arial" w:cs="Arial" w:eastAsia="Arial" w:hAnsi="Arial"/>
          <w:sz w:val="17"/>
          <w:szCs w:val="17"/>
          <w:color w:val="auto"/>
        </w:rPr>
      </w:pPr>
      <w:r>
        <w:rPr>
          <w:rFonts w:ascii="Arial" w:cs="Arial" w:eastAsia="Arial" w:hAnsi="Arial"/>
          <w:sz w:val="17"/>
          <w:szCs w:val="17"/>
          <w:color w:val="auto"/>
        </w:rPr>
        <w:t>By executing this Agreement, you affirm that you are competent and understand and accept the nature, terms and scope of this Agreement as fully resolving totally all differences and disputes between you and Shutterstock. Moreover, you acknowledge that by signing your name below you have read, understand and accept each of the terms of this Agreement, that you have had sufficient opportunity to review it, to</w:t>
      </w:r>
    </w:p>
    <w:p>
      <w:pPr>
        <w:sectPr>
          <w:pgSz w:w="11900" w:h="16838" w:orient="portrait"/>
          <w:cols w:equalWidth="0" w:num="1">
            <w:col w:w="11061"/>
          </w:cols>
          <w:pgMar w:left="599" w:top="382" w:right="239" w:bottom="1440" w:gutter="0" w:footer="0" w:header="0"/>
        </w:sectPr>
      </w:pPr>
    </w:p>
    <w:bookmarkStart w:id="60" w:name="page61"/>
    <w:bookmarkEnd w:id="60"/>
    <w:p>
      <w:pPr>
        <w:ind w:left="680"/>
        <w:spacing w:after="0"/>
        <w:rPr>
          <w:sz w:val="20"/>
          <w:szCs w:val="20"/>
          <w:color w:val="auto"/>
        </w:rPr>
      </w:pPr>
      <w:r>
        <w:rPr>
          <w:rFonts w:ascii="Arial" w:cs="Arial" w:eastAsia="Arial" w:hAnsi="Arial"/>
          <w:sz w:val="18"/>
          <w:szCs w:val="18"/>
          <w:color w:val="auto"/>
        </w:rPr>
        <w:t>consult with an attorney or other advisor (at your own expense), and have done so to the extent that you deem appropriate.</w:t>
      </w:r>
    </w:p>
    <w:p>
      <w:pPr>
        <w:spacing w:after="0" w:line="239" w:lineRule="exact"/>
        <w:rPr>
          <w:sz w:val="20"/>
          <w:szCs w:val="20"/>
          <w:color w:val="auto"/>
        </w:rPr>
      </w:pPr>
    </w:p>
    <w:p>
      <w:pPr>
        <w:ind w:left="680" w:hanging="321"/>
        <w:spacing w:after="0" w:line="28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for the NDA, which, except for Sections 11 and 12 therein, shall remain in full force and effect, this is the entire Agreement between you and the Company and supersedes in its entirety that certain Employment Agreement entered into by and between you and the Company on April 13, 2015. For purposes of clarity, Sections 11 and 12 of the NDA are replaced in their entirety by Sections 11(a), 11(b) and 11(c) of this Agreement. This Agreement may not be modified or canceled in any manner except by a writing signed by both you and an authorized Company official. You acknowledge that the Company has made no promises or representations to you other than those in this Agreement. It is not necessary that the Company sign this Agreement for it to become binding upon you.</w:t>
      </w:r>
    </w:p>
    <w:p>
      <w:pPr>
        <w:spacing w:after="0" w:line="149" w:lineRule="exact"/>
        <w:rPr>
          <w:rFonts w:ascii="Arial" w:cs="Arial" w:eastAsia="Arial" w:hAnsi="Arial"/>
          <w:sz w:val="18"/>
          <w:szCs w:val="18"/>
          <w:color w:val="auto"/>
        </w:rPr>
      </w:pPr>
    </w:p>
    <w:p>
      <w:pPr>
        <w:ind w:left="680" w:right="100" w:hanging="321"/>
        <w:spacing w:after="0" w:line="288"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New York, without regard to conflicts of laws. The parties agree to the exclusive jurisdiction and venue of the Supreme Court of the State of New York for New York County and/or the United States District Court for the Southern District of New York for the resolution of all disputes arising under this Agreement. Finally, to the extent permissible under applicable law, you hereby agree to waive your right to a jury trial in connection with any claim you may have against the Company.</w:t>
      </w:r>
    </w:p>
    <w:p>
      <w:pPr>
        <w:spacing w:after="0" w:line="149" w:lineRule="exact"/>
        <w:rPr>
          <w:rFonts w:ascii="Arial" w:cs="Arial" w:eastAsia="Arial" w:hAnsi="Arial"/>
          <w:sz w:val="18"/>
          <w:szCs w:val="18"/>
          <w:color w:val="auto"/>
        </w:rPr>
      </w:pPr>
    </w:p>
    <w:p>
      <w:pPr>
        <w:ind w:left="680" w:right="120" w:hanging="321"/>
        <w:spacing w:after="0" w:line="347" w:lineRule="auto"/>
        <w:tabs>
          <w:tab w:leader="none" w:pos="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Agreement may be executed in one or more counterparts, each of which shall be deemed an original, but all of which together shall constitute one and the same instrument. The signatures of any party to a counterpart shall be deemed to be a signature to, and may be appended to, any other counterpart. Executed originals transmitted electronically as PDF files (or their equivalent) shall have the same force and effect as signed originals.</w:t>
      </w:r>
    </w:p>
    <w:p>
      <w:pPr>
        <w:spacing w:after="0" w:line="174" w:lineRule="exact"/>
        <w:rPr>
          <w:rFonts w:ascii="Arial" w:cs="Arial" w:eastAsia="Arial" w:hAnsi="Arial"/>
          <w:sz w:val="16"/>
          <w:szCs w:val="16"/>
          <w:color w:val="auto"/>
        </w:rPr>
      </w:pPr>
    </w:p>
    <w:p>
      <w:pPr>
        <w:ind w:left="680" w:right="60" w:hanging="321"/>
        <w:spacing w:after="0" w:line="307"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YOU ACKNOWLEDGE THAT YOU HAVE CAREFULLY READ THIS AGREEMENT AND RELEASE, UNDERSTAND IT, AND ARE VOLUNTARILY ENTERING INTO IT OF YOUR OWN FREE WILL, WITHOUT DURESS OR COERCION, AFTER DUE CONSIDERATION OF ITS TERMS AND CONDITIONS. YOU FURTHER ACKNOWLEDGE THAT EXCEPT AS STATED IN THIS AGREEMENT, NEITHER THE COMPANY NOR ANY REPRESENTATIVE OF THE COMPANY HAS MADE ANY REPRESENTATIONS OR PROMISES TO YOU. YOU FURTHER ACKNOWLEDGE THAT YOU HAVE BEEN GIVEN AN OPPORTUNITY TO CONSULT WITH COUNSEL OF YOUR CHOICE BEFORE SIGNING THIS AGREEMENT. YOU UNDERSTAND THAT WHETHER OR NOT YOU DO SO IS YOUR DECISION.</w:t>
      </w:r>
    </w:p>
    <w:p>
      <w:pPr>
        <w:spacing w:after="0" w:line="133" w:lineRule="exact"/>
        <w:rPr>
          <w:rFonts w:ascii="Arial" w:cs="Arial" w:eastAsia="Arial" w:hAnsi="Arial"/>
          <w:sz w:val="17"/>
          <w:szCs w:val="17"/>
          <w:color w:val="auto"/>
        </w:rPr>
      </w:pPr>
    </w:p>
    <w:p>
      <w:pPr>
        <w:ind w:left="680" w:right="260" w:hanging="321"/>
        <w:spacing w:after="0" w:line="341"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Should any provision of this Agreement be declared illegal or unenforceable by any court of competent jurisdiction and cannot be modified to be enforceable, such provision shall immediately become null and void, leaving the remainder of this Agreement in full force and effect.</w:t>
      </w:r>
    </w:p>
    <w:p>
      <w:pPr>
        <w:spacing w:after="0" w:line="30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If the terms of this Agreement are acceptable to you, please sign both original copies and return them to Shutterstock Inc., Director, Human Resources, 350 Fifth Avenue, 21st Floor, New York, NY 10118 for countersignature. Once we have countersigned the Agreement we will send you a fully executed copy.</w:t>
      </w:r>
    </w:p>
    <w:p>
      <w:pPr>
        <w:spacing w:after="0" w:line="120"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b w:val="1"/>
          <w:bCs w:val="1"/>
          <w:color w:val="auto"/>
        </w:rPr>
        <w:t>You must sign and return this Agreement to Shutterstock Inc., Director, Human Resources/People Department, 350 Fifth Avenue, 21st Floor, New York, NY 10118 no later than the close of business on the twenty-first (21</w:t>
      </w:r>
      <w:r>
        <w:rPr>
          <w:rFonts w:ascii="Arial" w:cs="Arial" w:eastAsia="Arial" w:hAnsi="Arial"/>
          <w:sz w:val="24"/>
          <w:szCs w:val="24"/>
          <w:b w:val="1"/>
          <w:bCs w:val="1"/>
          <w:color w:val="auto"/>
          <w:vertAlign w:val="superscript"/>
        </w:rPr>
        <w:t>st</w:t>
      </w:r>
      <w:r>
        <w:rPr>
          <w:rFonts w:ascii="Arial" w:cs="Arial" w:eastAsia="Arial" w:hAnsi="Arial"/>
          <w:sz w:val="17"/>
          <w:szCs w:val="17"/>
          <w:b w:val="1"/>
          <w:bCs w:val="1"/>
          <w:color w:val="auto"/>
        </w:rPr>
        <w:t>) day following your receipt of this Mutual Separation Agreement and General Release or irrevocably lose the right to receive the consideration detailed herein. You received the Agreement on November 3, 2015. Once we have countersigned the Agreement we will send you a fully executed copy.</w:t>
      </w:r>
    </w:p>
    <w:p>
      <w:pPr>
        <w:sectPr>
          <w:pgSz w:w="11900" w:h="16838" w:orient="portrait"/>
          <w:cols w:equalWidth="0" w:num="1">
            <w:col w:w="11400"/>
          </w:cols>
          <w:pgMar w:left="240" w:top="409"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1480" w:type="dxa"/>
            <w:vAlign w:val="bottom"/>
            <w:gridSpan w:val="3"/>
          </w:tcPr>
          <w:p>
            <w:pPr>
              <w:spacing w:after="0"/>
              <w:rPr>
                <w:sz w:val="20"/>
                <w:szCs w:val="20"/>
                <w:color w:val="auto"/>
              </w:rPr>
            </w:pPr>
            <w:r>
              <w:rPr>
                <w:rFonts w:ascii="Arial" w:cs="Arial" w:eastAsia="Arial" w:hAnsi="Arial"/>
                <w:sz w:val="18"/>
                <w:szCs w:val="18"/>
                <w:color w:val="auto"/>
              </w:rPr>
              <w:t>Sincerely,</w:t>
            </w:r>
          </w:p>
        </w:tc>
        <w:tc>
          <w:tcPr>
            <w:tcW w:w="1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1480" w:type="dxa"/>
            <w:vAlign w:val="bottom"/>
            <w:gridSpan w:val="3"/>
          </w:tcPr>
          <w:p>
            <w:pPr>
              <w:spacing w:after="0"/>
              <w:rPr>
                <w:sz w:val="20"/>
                <w:szCs w:val="20"/>
                <w:color w:val="auto"/>
              </w:rPr>
            </w:pPr>
            <w:r>
              <w:rPr>
                <w:rFonts w:ascii="Arial" w:cs="Arial" w:eastAsia="Arial" w:hAnsi="Arial"/>
                <w:sz w:val="18"/>
                <w:szCs w:val="18"/>
                <w:color w:val="auto"/>
              </w:rPr>
              <w:t>Shutterstock, Inc.</w:t>
            </w: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2"/>
        </w:trPr>
        <w:tc>
          <w:tcPr>
            <w:tcW w:w="3460" w:type="dxa"/>
            <w:vAlign w:val="bottom"/>
            <w:gridSpan w:val="4"/>
          </w:tcPr>
          <w:p>
            <w:pPr>
              <w:spacing w:after="0"/>
              <w:rPr>
                <w:sz w:val="20"/>
                <w:szCs w:val="20"/>
                <w:color w:val="auto"/>
              </w:rPr>
            </w:pPr>
            <w:r>
              <w:rPr>
                <w:rFonts w:ascii="Arial" w:cs="Arial" w:eastAsia="Arial" w:hAnsi="Arial"/>
                <w:sz w:val="18"/>
                <w:szCs w:val="18"/>
                <w:color w:val="auto"/>
                <w:w w:val="94"/>
              </w:rPr>
              <w:t>By: /s/ Steven Berns____________________</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11/11/2015</w:t>
            </w:r>
          </w:p>
        </w:tc>
      </w:tr>
      <w:tr>
        <w:trPr>
          <w:trHeight w:val="20"/>
        </w:trPr>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7"/>
        </w:trPr>
        <w:tc>
          <w:tcPr>
            <w:tcW w:w="1480" w:type="dxa"/>
            <w:vAlign w:val="bottom"/>
            <w:gridSpan w:val="3"/>
          </w:tcPr>
          <w:p>
            <w:pPr>
              <w:spacing w:after="0"/>
              <w:rPr>
                <w:sz w:val="20"/>
                <w:szCs w:val="20"/>
                <w:color w:val="auto"/>
              </w:rPr>
            </w:pPr>
            <w:r>
              <w:rPr>
                <w:rFonts w:ascii="Arial" w:cs="Arial" w:eastAsia="Arial" w:hAnsi="Arial"/>
                <w:sz w:val="18"/>
                <w:szCs w:val="18"/>
                <w:color w:val="auto"/>
              </w:rPr>
              <w:t>Steven Berns</w:t>
            </w:r>
          </w:p>
        </w:tc>
        <w:tc>
          <w:tcPr>
            <w:tcW w:w="1980" w:type="dxa"/>
            <w:vAlign w:val="bottom"/>
          </w:tcPr>
          <w:p>
            <w:pPr>
              <w:ind w:left="380"/>
              <w:spacing w:after="0"/>
              <w:rPr>
                <w:sz w:val="20"/>
                <w:szCs w:val="20"/>
                <w:color w:val="auto"/>
              </w:rPr>
            </w:pPr>
            <w:r>
              <w:rPr>
                <w:rFonts w:ascii="Arial" w:cs="Arial" w:eastAsia="Arial" w:hAnsi="Arial"/>
                <w:sz w:val="18"/>
                <w:szCs w:val="18"/>
                <w:color w:val="auto"/>
              </w:rPr>
              <w:t>Date</w:t>
            </w:r>
          </w:p>
        </w:tc>
        <w:tc>
          <w:tcPr>
            <w:tcW w:w="800" w:type="dxa"/>
            <w:vAlign w:val="bottom"/>
          </w:tcPr>
          <w:p>
            <w:pPr>
              <w:spacing w:after="0"/>
              <w:rPr>
                <w:sz w:val="20"/>
                <w:szCs w:val="20"/>
                <w:color w:val="auto"/>
              </w:rPr>
            </w:pPr>
          </w:p>
        </w:tc>
      </w:tr>
      <w:tr>
        <w:trPr>
          <w:trHeight w:val="432"/>
        </w:trPr>
        <w:tc>
          <w:tcPr>
            <w:tcW w:w="3460" w:type="dxa"/>
            <w:vAlign w:val="bottom"/>
            <w:gridSpan w:val="4"/>
          </w:tcPr>
          <w:p>
            <w:pPr>
              <w:spacing w:after="0"/>
              <w:rPr>
                <w:sz w:val="20"/>
                <w:szCs w:val="20"/>
                <w:color w:val="auto"/>
              </w:rPr>
            </w:pPr>
            <w:r>
              <w:rPr>
                <w:rFonts w:ascii="Arial" w:cs="Arial" w:eastAsia="Arial" w:hAnsi="Arial"/>
                <w:sz w:val="18"/>
                <w:szCs w:val="18"/>
                <w:color w:val="auto"/>
              </w:rPr>
              <w:t>Read, Agreed to and Accepted:</w:t>
            </w:r>
          </w:p>
        </w:tc>
        <w:tc>
          <w:tcPr>
            <w:tcW w:w="800" w:type="dxa"/>
            <w:vAlign w:val="bottom"/>
          </w:tcPr>
          <w:p>
            <w:pPr>
              <w:spacing w:after="0"/>
              <w:rPr>
                <w:sz w:val="24"/>
                <w:szCs w:val="24"/>
                <w:color w:val="auto"/>
              </w:rPr>
            </w:pPr>
          </w:p>
        </w:tc>
      </w:tr>
      <w:tr>
        <w:trPr>
          <w:trHeight w:val="392"/>
        </w:trPr>
        <w:tc>
          <w:tcPr>
            <w:tcW w:w="3460" w:type="dxa"/>
            <w:vAlign w:val="bottom"/>
            <w:gridSpan w:val="4"/>
          </w:tcPr>
          <w:p>
            <w:pPr>
              <w:spacing w:after="0"/>
              <w:rPr>
                <w:sz w:val="20"/>
                <w:szCs w:val="20"/>
                <w:color w:val="auto"/>
              </w:rPr>
            </w:pPr>
            <w:r>
              <w:rPr>
                <w:rFonts w:ascii="Arial" w:cs="Arial" w:eastAsia="Arial" w:hAnsi="Arial"/>
                <w:sz w:val="18"/>
                <w:szCs w:val="18"/>
                <w:color w:val="auto"/>
              </w:rPr>
              <w:t>/s/ Aditi Gokhale____________________</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11/10/2015</w:t>
            </w:r>
          </w:p>
        </w:tc>
      </w:tr>
      <w:tr>
        <w:trPr>
          <w:trHeight w:val="237"/>
        </w:trPr>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Aditi Gokhale</w:t>
            </w:r>
          </w:p>
        </w:tc>
        <w:tc>
          <w:tcPr>
            <w:tcW w:w="240" w:type="dxa"/>
            <w:vAlign w:val="bottom"/>
          </w:tcPr>
          <w:p>
            <w:pPr>
              <w:spacing w:after="0"/>
              <w:rPr>
                <w:sz w:val="20"/>
                <w:szCs w:val="20"/>
                <w:color w:val="auto"/>
              </w:rPr>
            </w:pPr>
          </w:p>
        </w:tc>
        <w:tc>
          <w:tcPr>
            <w:tcW w:w="1980" w:type="dxa"/>
            <w:vAlign w:val="bottom"/>
          </w:tcPr>
          <w:p>
            <w:pPr>
              <w:ind w:left="640"/>
              <w:spacing w:after="0"/>
              <w:rPr>
                <w:sz w:val="20"/>
                <w:szCs w:val="20"/>
                <w:color w:val="auto"/>
              </w:rPr>
            </w:pPr>
            <w:r>
              <w:rPr>
                <w:rFonts w:ascii="Arial" w:cs="Arial" w:eastAsia="Arial" w:hAnsi="Arial"/>
                <w:sz w:val="18"/>
                <w:szCs w:val="18"/>
                <w:color w:val="auto"/>
              </w:rPr>
              <w:t>Date</w:t>
            </w:r>
          </w:p>
        </w:tc>
        <w:tc>
          <w:tcPr>
            <w:tcW w:w="800" w:type="dxa"/>
            <w:vAlign w:val="bottom"/>
            <w:tcBorders>
              <w:top w:val="single" w:sz="8" w:color="auto"/>
            </w:tcBorders>
          </w:tcPr>
          <w:p>
            <w:pPr>
              <w:spacing w:after="0"/>
              <w:rPr>
                <w:sz w:val="20"/>
                <w:szCs w:val="20"/>
                <w:color w:val="auto"/>
              </w:rPr>
            </w:pPr>
          </w:p>
        </w:tc>
      </w:tr>
    </w:tbl>
    <w:p>
      <w:pPr>
        <w:sectPr>
          <w:pgSz w:w="11900" w:h="16838" w:orient="portrait"/>
          <w:cols w:equalWidth="0" w:num="1">
            <w:col w:w="10219"/>
          </w:cols>
          <w:pgMar w:left="240" w:top="368" w:right="1440"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22"/>
          <w:szCs w:val="22"/>
          <w:b w:val="1"/>
          <w:bCs w:val="1"/>
          <w:color w:val="auto"/>
        </w:rPr>
        <w:t>SHUTTERSTOCK, INC.</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2012 OMNIBUS EQUITY INCENTIVE PLAN</w:t>
      </w:r>
    </w:p>
    <w:p>
      <w:pPr>
        <w:spacing w:after="0" w:line="226" w:lineRule="exact"/>
        <w:rPr>
          <w:sz w:val="20"/>
          <w:szCs w:val="20"/>
          <w:color w:val="auto"/>
        </w:rPr>
      </w:pPr>
    </w:p>
    <w:p>
      <w:pPr>
        <w:ind w:right="240" w:firstLine="656"/>
        <w:spacing w:after="0" w:line="294" w:lineRule="auto"/>
        <w:tabs>
          <w:tab w:leader="none" w:pos="1459"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Purposes of the Plan</w:t>
      </w:r>
      <w:r>
        <w:rPr>
          <w:rFonts w:ascii="Arial" w:cs="Arial" w:eastAsia="Arial" w:hAnsi="Arial"/>
          <w:sz w:val="19"/>
          <w:szCs w:val="19"/>
          <w:color w:val="auto"/>
        </w:rPr>
        <w:t>. The purposes of this Plan are (a) to attract and retain the best available personnel to ensure the Company’s success and accomplish the Company’s goals; (b) to incentivize Employees, Directors and Consultants with long-term equity-based compensation to align their interests with the Company’s stockholders, and (c) to promote the success of the Company’s business. The Plan amends and restates the 2012 Omnibus Equity Incentive Plan (the “</w:t>
      </w:r>
      <w:r>
        <w:rPr>
          <w:rFonts w:ascii="Arial" w:cs="Arial" w:eastAsia="Arial" w:hAnsi="Arial"/>
          <w:sz w:val="19"/>
          <w:szCs w:val="19"/>
          <w:u w:val="single" w:color="auto"/>
          <w:color w:val="auto"/>
        </w:rPr>
        <w:t>Original Plan</w:t>
      </w:r>
      <w:r>
        <w:rPr>
          <w:rFonts w:ascii="Arial" w:cs="Arial" w:eastAsia="Arial" w:hAnsi="Arial"/>
          <w:sz w:val="19"/>
          <w:szCs w:val="19"/>
          <w:color w:val="auto"/>
        </w:rPr>
        <w:t>”) that was originally adopted by the Board in May 2012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which became effective on October 10, 2012 and was amended and restated by the Board on April 15, 2016 and approved by our stockholders on [June 7, 2016].</w:t>
      </w:r>
    </w:p>
    <w:p>
      <w:pPr>
        <w:spacing w:after="0" w:line="150"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The Plan permits the grant of Incentive Stock Options, Nonstatutory Stock Options, Restricted Stock, Restricted Stock Units, Stock Appreciation Rights, Performance Units and Performance Shares.</w:t>
      </w:r>
    </w:p>
    <w:p>
      <w:pPr>
        <w:spacing w:after="0" w:line="175" w:lineRule="exact"/>
        <w:rPr>
          <w:sz w:val="20"/>
          <w:szCs w:val="20"/>
          <w:color w:val="auto"/>
        </w:rPr>
      </w:pPr>
    </w:p>
    <w:p>
      <w:pPr>
        <w:ind w:left="1000" w:hanging="344"/>
        <w:spacing w:after="0"/>
        <w:tabs>
          <w:tab w:leader="none" w:pos="10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will apply:</w:t>
      </w:r>
    </w:p>
    <w:p>
      <w:pPr>
        <w:spacing w:after="0" w:line="233" w:lineRule="exact"/>
        <w:rPr>
          <w:rFonts w:ascii="Arial" w:cs="Arial" w:eastAsia="Arial" w:hAnsi="Arial"/>
          <w:sz w:val="22"/>
          <w:szCs w:val="22"/>
          <w:color w:val="auto"/>
        </w:rPr>
      </w:pPr>
    </w:p>
    <w:p>
      <w:pPr>
        <w:ind w:right="420" w:firstLine="1305"/>
        <w:spacing w:after="0" w:line="276" w:lineRule="auto"/>
        <w:tabs>
          <w:tab w:leader="none" w:pos="1716" w:val="left"/>
        </w:tabs>
        <w:numPr>
          <w:ilvl w:val="1"/>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of its Committees as will be administering the Plan, in accordance with Section 4 of the Plan.</w:t>
      </w:r>
    </w:p>
    <w:p>
      <w:pPr>
        <w:spacing w:after="0" w:line="160" w:lineRule="exact"/>
        <w:rPr>
          <w:rFonts w:ascii="Arial" w:cs="Arial" w:eastAsia="Arial" w:hAnsi="Arial"/>
          <w:sz w:val="22"/>
          <w:szCs w:val="22"/>
          <w:color w:val="auto"/>
        </w:rPr>
      </w:pPr>
    </w:p>
    <w:p>
      <w:pPr>
        <w:ind w:right="320" w:firstLine="1305"/>
        <w:spacing w:after="0" w:line="254" w:lineRule="auto"/>
        <w:tabs>
          <w:tab w:leader="none" w:pos="1728" w:val="left"/>
        </w:tabs>
        <w:numPr>
          <w:ilvl w:val="1"/>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ind w:right="460" w:firstLine="180"/>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individually or collectively, a grant under the Plan of Options, Stock Appreciation Rights, Restricted Stock, Restricted Stock Units, Performance Units or Performance Shares.</w:t>
      </w:r>
    </w:p>
    <w:p>
      <w:pPr>
        <w:spacing w:after="0" w:line="179" w:lineRule="exact"/>
        <w:rPr>
          <w:sz w:val="20"/>
          <w:szCs w:val="20"/>
          <w:color w:val="auto"/>
        </w:rPr>
      </w:pPr>
    </w:p>
    <w:p>
      <w:pPr>
        <w:ind w:firstLine="1305"/>
        <w:spacing w:after="0" w:line="301" w:lineRule="auto"/>
        <w:tabs>
          <w:tab w:leader="none" w:pos="1728" w:val="left"/>
        </w:tabs>
        <w:numPr>
          <w:ilvl w:val="0"/>
          <w:numId w:val="4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 Agreement</w:t>
      </w:r>
      <w:r>
        <w:rPr>
          <w:rFonts w:ascii="Arial" w:cs="Arial" w:eastAsia="Arial" w:hAnsi="Arial"/>
          <w:sz w:val="21"/>
          <w:szCs w:val="21"/>
          <w:color w:val="auto"/>
        </w:rPr>
        <w:t>” means the written or electronic agreement setting forth the terms and provisions applicable to each Award granted under the Plan. The Award Agreement is subject to the terms and conditions of the Plan.</w:t>
      </w:r>
    </w:p>
    <w:p>
      <w:pPr>
        <w:spacing w:after="0" w:line="137" w:lineRule="exact"/>
        <w:rPr>
          <w:rFonts w:ascii="Arial" w:cs="Arial" w:eastAsia="Arial" w:hAnsi="Arial"/>
          <w:sz w:val="21"/>
          <w:szCs w:val="21"/>
          <w:color w:val="auto"/>
        </w:rPr>
      </w:pPr>
    </w:p>
    <w:p>
      <w:pPr>
        <w:ind w:left="1720" w:hanging="415"/>
        <w:spacing w:after="0"/>
        <w:tabs>
          <w:tab w:leader="none" w:pos="17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ind w:left="1700" w:hanging="395"/>
        <w:spacing w:after="0"/>
        <w:tabs>
          <w:tab w:leader="none" w:pos="17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except as may otherwise be provided in a Stock Option Agreement, R</w:t>
      </w:r>
    </w:p>
    <w:p>
      <w:pPr>
        <w:sectPr>
          <w:pgSz w:w="11900" w:h="16838" w:orient="portrait"/>
          <w:cols w:equalWidth="0" w:num="1">
            <w:col w:w="11420"/>
          </w:cols>
          <w:pgMar w:left="240" w:top="841"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estricted Stock Agreement or other applicable agreement, means the occurrence of any of the following:</w:t>
      </w:r>
    </w:p>
    <w:p>
      <w:pPr>
        <w:spacing w:after="0" w:line="220" w:lineRule="exact"/>
        <w:rPr>
          <w:sz w:val="20"/>
          <w:szCs w:val="20"/>
          <w:color w:val="auto"/>
        </w:rPr>
      </w:pPr>
    </w:p>
    <w:p>
      <w:pPr>
        <w:ind w:firstLine="1953"/>
        <w:spacing w:after="0" w:line="251" w:lineRule="auto"/>
        <w:tabs>
          <w:tab w:leader="none" w:pos="232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189" w:lineRule="exact"/>
        <w:rPr>
          <w:rFonts w:ascii="Arial" w:cs="Arial" w:eastAsia="Arial" w:hAnsi="Arial"/>
          <w:sz w:val="22"/>
          <w:szCs w:val="22"/>
          <w:color w:val="auto"/>
        </w:rPr>
      </w:pPr>
    </w:p>
    <w:p>
      <w:pPr>
        <w:ind w:right="60" w:firstLine="1953"/>
        <w:spacing w:after="0" w:line="250" w:lineRule="auto"/>
        <w:tabs>
          <w:tab w:leader="none" w:pos="238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2(f)(i) in connection with a merger, consolidation or corporate reorganization which does not result in a Change in Control under Section 2(f)(i));</w:t>
      </w:r>
    </w:p>
    <w:p>
      <w:pPr>
        <w:spacing w:after="0" w:line="188" w:lineRule="exact"/>
        <w:rPr>
          <w:rFonts w:ascii="Arial" w:cs="Arial" w:eastAsia="Arial" w:hAnsi="Arial"/>
          <w:sz w:val="22"/>
          <w:szCs w:val="22"/>
          <w:color w:val="auto"/>
        </w:rPr>
      </w:pPr>
    </w:p>
    <w:p>
      <w:pPr>
        <w:ind w:right="20" w:firstLine="1953"/>
        <w:spacing w:after="0" w:line="266" w:lineRule="auto"/>
        <w:tabs>
          <w:tab w:leader="none" w:pos="2449" w:val="left"/>
        </w:tabs>
        <w:numPr>
          <w:ilvl w:val="0"/>
          <w:numId w:val="47"/>
        </w:numPr>
        <w:rPr>
          <w:rFonts w:ascii="Arial" w:cs="Arial" w:eastAsia="Arial" w:hAnsi="Arial"/>
          <w:sz w:val="21"/>
          <w:szCs w:val="21"/>
          <w:color w:val="auto"/>
        </w:rPr>
      </w:pPr>
      <w:r>
        <w:rPr>
          <w:rFonts w:ascii="Arial" w:cs="Arial" w:eastAsia="Arial" w:hAnsi="Arial"/>
          <w:sz w:val="21"/>
          <w:szCs w:val="21"/>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if any Person (as defined below in Section 2(f)(iv)) is considered to be in effective control of the Company, the acquisition of additional control of the Company by the same Person will not be considered a Change in Control;</w:t>
      </w:r>
    </w:p>
    <w:p>
      <w:pPr>
        <w:spacing w:after="0" w:line="174" w:lineRule="exact"/>
        <w:rPr>
          <w:rFonts w:ascii="Arial" w:cs="Arial" w:eastAsia="Arial" w:hAnsi="Arial"/>
          <w:sz w:val="21"/>
          <w:szCs w:val="21"/>
          <w:color w:val="auto"/>
        </w:rPr>
      </w:pPr>
    </w:p>
    <w:p>
      <w:pPr>
        <w:ind w:right="80" w:firstLine="1953"/>
        <w:spacing w:after="0" w:line="251" w:lineRule="auto"/>
        <w:tabs>
          <w:tab w:leader="none" w:pos="2437"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Paragraph (iv), the term “person” shall have the same meaning as when used in Sections 13(d) and 14(d) of the Exchange Act but shall exclude:</w:t>
      </w:r>
    </w:p>
    <w:p>
      <w:pPr>
        <w:spacing w:after="0" w:line="189" w:lineRule="exact"/>
        <w:rPr>
          <w:rFonts w:ascii="Arial" w:cs="Arial" w:eastAsia="Arial" w:hAnsi="Arial"/>
          <w:sz w:val="22"/>
          <w:szCs w:val="22"/>
          <w:color w:val="auto"/>
        </w:rPr>
      </w:pPr>
    </w:p>
    <w:p>
      <w:pPr>
        <w:ind w:left="3040" w:hanging="439"/>
        <w:spacing w:after="0"/>
        <w:tabs>
          <w:tab w:leader="none" w:pos="30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 trustee or other fiduciary holding securities under an employee benefit plan of the Company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 affiliate of the Company;</w:t>
      </w:r>
    </w:p>
    <w:p>
      <w:pPr>
        <w:spacing w:after="0" w:line="215" w:lineRule="exact"/>
        <w:rPr>
          <w:rFonts w:ascii="Arial" w:cs="Arial" w:eastAsia="Arial" w:hAnsi="Arial"/>
          <w:sz w:val="19"/>
          <w:szCs w:val="19"/>
          <w:color w:val="auto"/>
        </w:rPr>
      </w:pPr>
    </w:p>
    <w:p>
      <w:pPr>
        <w:ind w:right="40" w:firstLine="2601"/>
        <w:spacing w:after="0" w:line="276" w:lineRule="auto"/>
        <w:tabs>
          <w:tab w:leader="none" w:pos="3025"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corporation or other entity owned directly or indirectly by the shareholders of the Company in substantially the same proportions as their ownership of the common stock of the Company;</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5660" w:hanging="126"/>
        <w:spacing w:after="0"/>
        <w:tabs>
          <w:tab w:leader="none" w:pos="5660" w:val="left"/>
        </w:tabs>
        <w:numPr>
          <w:ilvl w:val="2"/>
          <w:numId w:val="47"/>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360"/>
          </w:cols>
          <w:pgMar w:left="240" w:top="847" w:right="299" w:bottom="1440" w:gutter="0" w:footer="0" w:header="0"/>
        </w:sectPr>
      </w:pPr>
    </w:p>
    <w:bookmarkStart w:id="64" w:name="page65"/>
    <w:bookmarkEnd w:id="64"/>
    <w:p>
      <w:pPr>
        <w:ind w:left="3040" w:hanging="439"/>
        <w:spacing w:after="0"/>
        <w:tabs>
          <w:tab w:leader="none" w:pos="30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Company; and</w:t>
      </w:r>
    </w:p>
    <w:p>
      <w:pPr>
        <w:spacing w:after="0" w:line="233" w:lineRule="exact"/>
        <w:rPr>
          <w:rFonts w:ascii="Arial" w:cs="Arial" w:eastAsia="Arial" w:hAnsi="Arial"/>
          <w:sz w:val="22"/>
          <w:szCs w:val="22"/>
          <w:color w:val="auto"/>
        </w:rPr>
      </w:pPr>
    </w:p>
    <w:p>
      <w:pPr>
        <w:ind w:right="100" w:firstLine="2601"/>
        <w:spacing w:after="0" w:line="276" w:lineRule="auto"/>
        <w:tabs>
          <w:tab w:leader="none" w:pos="3025" w:val="left"/>
        </w:tabs>
        <w:numPr>
          <w:ilvl w:val="1"/>
          <w:numId w:val="48"/>
        </w:numPr>
        <w:rPr>
          <w:rFonts w:ascii="Arial" w:cs="Arial" w:eastAsia="Arial" w:hAnsi="Arial"/>
          <w:sz w:val="22"/>
          <w:szCs w:val="22"/>
          <w:color w:val="auto"/>
        </w:rPr>
      </w:pPr>
      <w:r>
        <w:rPr>
          <w:rFonts w:ascii="Arial" w:cs="Arial" w:eastAsia="Arial" w:hAnsi="Arial"/>
          <w:sz w:val="22"/>
          <w:szCs w:val="22"/>
          <w:color w:val="auto"/>
        </w:rPr>
        <w:t>a corporation or other entity of which at least a majority of its combined voting power is owned directly or indirectly by the Company; or</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complete winding up, liquidation or dissolution of the Company.</w:t>
      </w:r>
    </w:p>
    <w:p>
      <w:pPr>
        <w:spacing w:after="0" w:line="233"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w:t>
      </w:r>
    </w:p>
    <w:p>
      <w:pPr>
        <w:spacing w:after="0" w:line="186" w:lineRule="exact"/>
        <w:rPr>
          <w:sz w:val="20"/>
          <w:szCs w:val="20"/>
          <w:color w:val="auto"/>
        </w:rPr>
      </w:pPr>
    </w:p>
    <w:p>
      <w:pPr>
        <w:ind w:right="160" w:firstLine="1305"/>
        <w:spacing w:after="0" w:line="320" w:lineRule="auto"/>
        <w:tabs>
          <w:tab w:leader="none" w:pos="1728"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25" w:lineRule="exact"/>
        <w:rPr>
          <w:rFonts w:ascii="Arial" w:cs="Arial" w:eastAsia="Arial" w:hAnsi="Arial"/>
          <w:sz w:val="19"/>
          <w:szCs w:val="19"/>
          <w:color w:val="auto"/>
        </w:rPr>
      </w:pPr>
    </w:p>
    <w:p>
      <w:pPr>
        <w:ind w:right="120" w:firstLine="1305"/>
        <w:spacing w:after="0" w:line="276" w:lineRule="auto"/>
        <w:tabs>
          <w:tab w:leader="none" w:pos="1728"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Directors or of other individuals satisfying Applicable Laws appointed by the Board in accordance with Section 4 hereof.</w:t>
      </w:r>
    </w:p>
    <w:p>
      <w:pPr>
        <w:spacing w:after="0" w:line="160" w:lineRule="exact"/>
        <w:rPr>
          <w:rFonts w:ascii="Arial" w:cs="Arial" w:eastAsia="Arial" w:hAnsi="Arial"/>
          <w:sz w:val="22"/>
          <w:szCs w:val="22"/>
          <w:color w:val="auto"/>
        </w:rPr>
      </w:pPr>
    </w:p>
    <w:p>
      <w:pPr>
        <w:ind w:left="1680" w:hanging="375"/>
        <w:spacing w:after="0"/>
        <w:tabs>
          <w:tab w:leader="none" w:pos="16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Shutterstock, Inc., a Delaware corporation, or any successor thereto.</w:t>
      </w:r>
    </w:p>
    <w:p>
      <w:pPr>
        <w:spacing w:after="0" w:line="233" w:lineRule="exact"/>
        <w:rPr>
          <w:rFonts w:ascii="Arial" w:cs="Arial" w:eastAsia="Arial" w:hAnsi="Arial"/>
          <w:sz w:val="22"/>
          <w:szCs w:val="22"/>
          <w:color w:val="auto"/>
        </w:rPr>
      </w:pPr>
    </w:p>
    <w:p>
      <w:pPr>
        <w:ind w:right="240" w:firstLine="1305"/>
        <w:spacing w:after="0" w:line="260" w:lineRule="auto"/>
        <w:tabs>
          <w:tab w:leader="none" w:pos="1728"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Consultant</w:t>
      </w:r>
      <w:r>
        <w:rPr>
          <w:rFonts w:ascii="Arial" w:cs="Arial" w:eastAsia="Arial" w:hAnsi="Arial"/>
          <w:sz w:val="22"/>
          <w:szCs w:val="22"/>
          <w:color w:val="auto"/>
        </w:rPr>
        <w:t>” means any person, including an advisor, engaged by the Company or a Parent or Subsidiary to render services to such entity (as the terms consultant and advisor are defined and interpreted for purposes of Form S-8 under the Securities Act of 1933, as amended, or any successor form).</w:t>
      </w:r>
    </w:p>
    <w:p>
      <w:pPr>
        <w:spacing w:after="0" w:line="177" w:lineRule="exact"/>
        <w:rPr>
          <w:rFonts w:ascii="Arial" w:cs="Arial" w:eastAsia="Arial" w:hAnsi="Arial"/>
          <w:sz w:val="22"/>
          <w:szCs w:val="22"/>
          <w:color w:val="auto"/>
        </w:rPr>
      </w:pPr>
    </w:p>
    <w:p>
      <w:pPr>
        <w:ind w:left="1680" w:hanging="375"/>
        <w:spacing w:after="0"/>
        <w:tabs>
          <w:tab w:leader="none" w:pos="16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color w:val="auto"/>
        </w:rPr>
      </w:pPr>
    </w:p>
    <w:p>
      <w:pPr>
        <w:jc w:val="both"/>
        <w:ind w:firstLine="1305"/>
        <w:spacing w:after="0" w:line="320" w:lineRule="auto"/>
        <w:tabs>
          <w:tab w:leader="none" w:pos="1788"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25" w:lineRule="exact"/>
        <w:rPr>
          <w:rFonts w:ascii="Arial" w:cs="Arial" w:eastAsia="Arial" w:hAnsi="Arial"/>
          <w:sz w:val="19"/>
          <w:szCs w:val="19"/>
          <w:color w:val="auto"/>
        </w:rPr>
      </w:pPr>
    </w:p>
    <w:p>
      <w:pPr>
        <w:ind w:right="200" w:firstLine="1305"/>
        <w:spacing w:after="0" w:line="260" w:lineRule="auto"/>
        <w:tabs>
          <w:tab w:leader="none" w:pos="1728"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5660" w:hanging="126"/>
        <w:spacing w:after="0"/>
        <w:tabs>
          <w:tab w:leader="none" w:pos="56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00"/>
          </w:cols>
          <w:pgMar w:left="240" w:top="847" w:right="259" w:bottom="1440" w:gutter="0" w:footer="0" w:header="0"/>
        </w:sectPr>
      </w:pPr>
    </w:p>
    <w:bookmarkStart w:id="65" w:name="page66"/>
    <w:bookmarkEnd w:id="65"/>
    <w:p>
      <w:pPr>
        <w:ind w:left="1732" w:hanging="435"/>
        <w:spacing w:after="0"/>
        <w:tabs>
          <w:tab w:leader="none" w:pos="1732"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33" w:lineRule="exact"/>
        <w:rPr>
          <w:rFonts w:ascii="Arial" w:cs="Arial" w:eastAsia="Arial" w:hAnsi="Arial"/>
          <w:sz w:val="22"/>
          <w:szCs w:val="22"/>
          <w:color w:val="auto"/>
        </w:rPr>
      </w:pPr>
    </w:p>
    <w:p>
      <w:pPr>
        <w:ind w:left="-8" w:right="160" w:firstLine="1305"/>
        <w:spacing w:after="0" w:line="299" w:lineRule="auto"/>
        <w:tabs>
          <w:tab w:leader="none" w:pos="17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Program</w:t>
      </w:r>
      <w:r>
        <w:rPr>
          <w:rFonts w:ascii="Arial" w:cs="Arial" w:eastAsia="Arial" w:hAnsi="Arial"/>
          <w:sz w:val="19"/>
          <w:szCs w:val="19"/>
          <w:color w:val="auto"/>
        </w:rPr>
        <w:t>” means a program established by the Committee under which outstanding Awards are amended to provide for a lower Exercise Price or surrendered or cancelled in exchange for (i) Awards with a lower exercise price,</w:t>
      </w:r>
    </w:p>
    <w:p>
      <w:pPr>
        <w:ind w:left="312" w:hanging="312"/>
        <w:spacing w:after="0"/>
        <w:tabs>
          <w:tab w:leader="none" w:pos="312" w:val="left"/>
        </w:tabs>
        <w:numPr>
          <w:ilvl w:val="0"/>
          <w:numId w:val="52"/>
        </w:numPr>
        <w:rPr>
          <w:rFonts w:ascii="Arial" w:cs="Arial" w:eastAsia="Arial" w:hAnsi="Arial"/>
          <w:sz w:val="19"/>
          <w:szCs w:val="19"/>
          <w:color w:val="auto"/>
        </w:rPr>
      </w:pPr>
      <w:r>
        <w:rPr>
          <w:rFonts w:ascii="Arial" w:cs="Arial" w:eastAsia="Arial" w:hAnsi="Arial"/>
          <w:sz w:val="19"/>
          <w:szCs w:val="19"/>
          <w:color w:val="auto"/>
        </w:rPr>
        <w:t>a different type of Award or awards under a different equity incentive plan, (iii) cash, or (iv) a combination of (i), (ii) and/or</w:t>
      </w:r>
    </w:p>
    <w:p>
      <w:pPr>
        <w:spacing w:after="0" w:line="38" w:lineRule="exact"/>
        <w:rPr>
          <w:rFonts w:ascii="Arial" w:cs="Arial" w:eastAsia="Arial" w:hAnsi="Arial"/>
          <w:sz w:val="19"/>
          <w:szCs w:val="19"/>
          <w:color w:val="auto"/>
        </w:rPr>
      </w:pPr>
    </w:p>
    <w:p>
      <w:pPr>
        <w:ind w:left="-8" w:right="60" w:firstLine="8"/>
        <w:spacing w:after="0" w:line="295" w:lineRule="auto"/>
        <w:tabs>
          <w:tab w:leader="none" w:pos="424"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Notwithstanding the preceding, the term Exchange Program does not include any (i) action described in Section 13 or any action taken in connection with a change in control transaction nor (ii) transfer or other disposition permitted under Section 12. For the purpose of clarity, each of the actions described in the prior sentence, none of which constitute an Exchange Program, may be undertaken (or authorized) by the Committee in its sole discretion without approval by the Company’s shareholders.</w:t>
      </w:r>
    </w:p>
    <w:p>
      <w:pPr>
        <w:spacing w:after="0" w:line="150" w:lineRule="exact"/>
        <w:rPr>
          <w:rFonts w:ascii="Arial" w:cs="Arial" w:eastAsia="Arial" w:hAnsi="Arial"/>
          <w:sz w:val="19"/>
          <w:szCs w:val="19"/>
          <w:color w:val="auto"/>
        </w:rPr>
      </w:pPr>
    </w:p>
    <w:p>
      <w:pPr>
        <w:ind w:left="1732" w:hanging="435"/>
        <w:spacing w:after="0"/>
        <w:tabs>
          <w:tab w:leader="none" w:pos="1732"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the value of Common Stock determined as follows:</w:t>
      </w:r>
    </w:p>
    <w:p>
      <w:pPr>
        <w:spacing w:after="0" w:line="233" w:lineRule="exact"/>
        <w:rPr>
          <w:rFonts w:ascii="Arial" w:cs="Arial" w:eastAsia="Arial" w:hAnsi="Arial"/>
          <w:sz w:val="22"/>
          <w:szCs w:val="22"/>
          <w:color w:val="auto"/>
        </w:rPr>
      </w:pPr>
    </w:p>
    <w:p>
      <w:pPr>
        <w:ind w:left="-8" w:right="20" w:firstLine="1953"/>
        <w:spacing w:after="0" w:line="266" w:lineRule="auto"/>
        <w:tabs>
          <w:tab w:leader="none" w:pos="2321" w:val="left"/>
        </w:tabs>
        <w:numPr>
          <w:ilvl w:val="2"/>
          <w:numId w:val="53"/>
        </w:numPr>
        <w:rPr>
          <w:rFonts w:ascii="Arial" w:cs="Arial" w:eastAsia="Arial" w:hAnsi="Arial"/>
          <w:sz w:val="21"/>
          <w:szCs w:val="21"/>
          <w:color w:val="auto"/>
        </w:rPr>
      </w:pPr>
      <w:r>
        <w:rPr>
          <w:rFonts w:ascii="Arial" w:cs="Arial" w:eastAsia="Arial" w:hAnsi="Arial"/>
          <w:sz w:val="21"/>
          <w:szCs w:val="21"/>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or such other source as the Administrator deems reliable;</w:t>
      </w:r>
    </w:p>
    <w:p>
      <w:pPr>
        <w:spacing w:after="0" w:line="174" w:lineRule="exact"/>
        <w:rPr>
          <w:rFonts w:ascii="Arial" w:cs="Arial" w:eastAsia="Arial" w:hAnsi="Arial"/>
          <w:sz w:val="21"/>
          <w:szCs w:val="21"/>
          <w:color w:val="auto"/>
        </w:rPr>
      </w:pPr>
    </w:p>
    <w:p>
      <w:pPr>
        <w:ind w:left="-8" w:right="240" w:firstLine="1953"/>
        <w:spacing w:after="0" w:line="320" w:lineRule="auto"/>
        <w:tabs>
          <w:tab w:leader="none" w:pos="2381" w:val="left"/>
        </w:tabs>
        <w:numPr>
          <w:ilvl w:val="2"/>
          <w:numId w:val="53"/>
        </w:numPr>
        <w:rPr>
          <w:rFonts w:ascii="Arial" w:cs="Arial" w:eastAsia="Arial" w:hAnsi="Arial"/>
          <w:sz w:val="19"/>
          <w:szCs w:val="19"/>
          <w:color w:val="auto"/>
        </w:rPr>
      </w:pPr>
      <w:r>
        <w:rPr>
          <w:rFonts w:ascii="Arial" w:cs="Arial" w:eastAsia="Arial" w:hAnsi="Arial"/>
          <w:sz w:val="19"/>
          <w:szCs w:val="19"/>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w:t>
      </w:r>
    </w:p>
    <w:p>
      <w:pPr>
        <w:spacing w:after="0" w:line="125" w:lineRule="exact"/>
        <w:rPr>
          <w:rFonts w:ascii="Arial" w:cs="Arial" w:eastAsia="Arial" w:hAnsi="Arial"/>
          <w:sz w:val="19"/>
          <w:szCs w:val="19"/>
          <w:color w:val="auto"/>
        </w:rPr>
      </w:pPr>
    </w:p>
    <w:p>
      <w:pPr>
        <w:ind w:left="-8" w:firstLine="1953"/>
        <w:spacing w:after="0" w:line="260" w:lineRule="auto"/>
        <w:tabs>
          <w:tab w:leader="none" w:pos="2441" w:val="left"/>
        </w:tabs>
        <w:numPr>
          <w:ilvl w:val="2"/>
          <w:numId w:val="53"/>
        </w:numPr>
        <w:rPr>
          <w:rFonts w:ascii="Arial" w:cs="Arial" w:eastAsia="Arial" w:hAnsi="Arial"/>
          <w:sz w:val="22"/>
          <w:szCs w:val="22"/>
          <w:color w:val="auto"/>
        </w:rPr>
      </w:pPr>
      <w:r>
        <w:rPr>
          <w:rFonts w:ascii="Arial" w:cs="Arial" w:eastAsia="Arial" w:hAnsi="Arial"/>
          <w:sz w:val="22"/>
          <w:szCs w:val="22"/>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 or</w:t>
      </w:r>
    </w:p>
    <w:p>
      <w:pPr>
        <w:spacing w:after="0" w:line="177" w:lineRule="exact"/>
        <w:rPr>
          <w:rFonts w:ascii="Arial" w:cs="Arial" w:eastAsia="Arial" w:hAnsi="Arial"/>
          <w:sz w:val="22"/>
          <w:szCs w:val="22"/>
          <w:color w:val="auto"/>
        </w:rPr>
      </w:pPr>
    </w:p>
    <w:p>
      <w:pPr>
        <w:ind w:left="-8" w:right="880" w:firstLine="1953"/>
        <w:spacing w:after="0" w:line="276" w:lineRule="auto"/>
        <w:tabs>
          <w:tab w:leader="none" w:pos="2429" w:val="left"/>
        </w:tabs>
        <w:numPr>
          <w:ilvl w:val="2"/>
          <w:numId w:val="53"/>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will be determined in good faith by the Administrator.</w:t>
      </w:r>
    </w:p>
    <w:p>
      <w:pPr>
        <w:spacing w:after="0" w:line="160" w:lineRule="exact"/>
        <w:rPr>
          <w:rFonts w:ascii="Arial" w:cs="Arial" w:eastAsia="Arial" w:hAnsi="Arial"/>
          <w:sz w:val="22"/>
          <w:szCs w:val="22"/>
          <w:color w:val="auto"/>
        </w:rPr>
      </w:pPr>
    </w:p>
    <w:p>
      <w:pPr>
        <w:ind w:left="1692" w:hanging="395"/>
        <w:spacing w:after="0"/>
        <w:tabs>
          <w:tab w:leader="none" w:pos="1692"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fiscal year of the Company.</w:t>
      </w:r>
    </w:p>
    <w:p>
      <w:pPr>
        <w:spacing w:after="0" w:line="233" w:lineRule="exact"/>
        <w:rPr>
          <w:rFonts w:ascii="Arial" w:cs="Arial" w:eastAsia="Arial" w:hAnsi="Arial"/>
          <w:sz w:val="22"/>
          <w:szCs w:val="22"/>
          <w:color w:val="auto"/>
        </w:rPr>
      </w:pPr>
    </w:p>
    <w:p>
      <w:pPr>
        <w:ind w:left="-8" w:right="100" w:firstLine="1305"/>
        <w:spacing w:after="0" w:line="276" w:lineRule="auto"/>
        <w:tabs>
          <w:tab w:leader="none" w:pos="1696"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intended to qualify as an incentive stock option within the meaning of Section 422 of the Code and the regulations promulgated thereunder.</w:t>
      </w:r>
    </w:p>
    <w:p>
      <w:pPr>
        <w:spacing w:after="0" w:line="160" w:lineRule="exact"/>
        <w:rPr>
          <w:rFonts w:ascii="Arial" w:cs="Arial" w:eastAsia="Arial" w:hAnsi="Arial"/>
          <w:sz w:val="22"/>
          <w:szCs w:val="22"/>
          <w:color w:val="auto"/>
        </w:rPr>
      </w:pPr>
    </w:p>
    <w:p>
      <w:pPr>
        <w:ind w:left="1672" w:hanging="375"/>
        <w:spacing w:after="0"/>
        <w:tabs>
          <w:tab w:leader="none" w:pos="1672"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Inside Director</w:t>
      </w:r>
      <w:r>
        <w:rPr>
          <w:rFonts w:ascii="Arial" w:cs="Arial" w:eastAsia="Arial" w:hAnsi="Arial"/>
          <w:sz w:val="22"/>
          <w:szCs w:val="22"/>
          <w:color w:val="auto"/>
        </w:rPr>
        <w:t>” means a Director who is an Employee.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5652" w:hanging="126"/>
        <w:spacing w:after="0"/>
        <w:tabs>
          <w:tab w:leader="none" w:pos="5652" w:val="left"/>
        </w:tabs>
        <w:numPr>
          <w:ilvl w:val="3"/>
          <w:numId w:val="53"/>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392"/>
          </w:cols>
          <w:pgMar w:left="248" w:top="847" w:right="259" w:bottom="1440" w:gutter="0" w:footer="0" w:header="0"/>
        </w:sectPr>
      </w:pPr>
    </w:p>
    <w:bookmarkStart w:id="66" w:name="page67"/>
    <w:bookmarkEnd w:id="66"/>
    <w:p>
      <w:pPr>
        <w:ind w:right="40" w:firstLine="1305"/>
        <w:spacing w:after="0" w:line="276" w:lineRule="auto"/>
        <w:tabs>
          <w:tab w:leader="none" w:pos="1728"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Nonstatutory Stock Option</w:t>
      </w:r>
      <w:r>
        <w:rPr>
          <w:rFonts w:ascii="Arial" w:cs="Arial" w:eastAsia="Arial" w:hAnsi="Arial"/>
          <w:sz w:val="22"/>
          <w:szCs w:val="22"/>
          <w:color w:val="auto"/>
        </w:rPr>
        <w:t>” means an Option that by its terms does not qualify or is not intended to qualify as an Incentive Stock Option.</w:t>
      </w:r>
    </w:p>
    <w:p>
      <w:pPr>
        <w:spacing w:after="0" w:line="160" w:lineRule="exact"/>
        <w:rPr>
          <w:rFonts w:ascii="Arial" w:cs="Arial" w:eastAsia="Arial" w:hAnsi="Arial"/>
          <w:sz w:val="22"/>
          <w:szCs w:val="22"/>
          <w:color w:val="auto"/>
        </w:rPr>
      </w:pPr>
    </w:p>
    <w:p>
      <w:pPr>
        <w:ind w:right="100" w:firstLine="1305"/>
        <w:spacing w:after="0" w:line="276" w:lineRule="auto"/>
        <w:tabs>
          <w:tab w:leader="none" w:pos="1728"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a person who is an officer of the Company within the meaning of Section 16 of the Exchange Act and the rules and regulations promulgated thereunder.</w:t>
      </w:r>
    </w:p>
    <w:p>
      <w:pPr>
        <w:spacing w:after="0" w:line="160" w:lineRule="exact"/>
        <w:rPr>
          <w:rFonts w:ascii="Arial" w:cs="Arial" w:eastAsia="Arial" w:hAnsi="Arial"/>
          <w:sz w:val="22"/>
          <w:szCs w:val="22"/>
          <w:color w:val="auto"/>
        </w:rPr>
      </w:pPr>
    </w:p>
    <w:p>
      <w:pPr>
        <w:ind w:left="1780" w:hanging="475"/>
        <w:spacing w:after="0"/>
        <w:tabs>
          <w:tab w:leader="none" w:pos="17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 stock option granted pursuant to the Plan.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Director</w:t>
      </w:r>
      <w:r>
        <w:rPr>
          <w:rFonts w:ascii="Arial" w:cs="Arial" w:eastAsia="Arial" w:hAnsi="Arial"/>
          <w:sz w:val="22"/>
          <w:szCs w:val="22"/>
          <w:color w:val="auto"/>
        </w:rPr>
        <w:t>” means a Director who is not an Employee.</w:t>
      </w:r>
    </w:p>
    <w:p>
      <w:pPr>
        <w:spacing w:after="0" w:line="233" w:lineRule="exact"/>
        <w:rPr>
          <w:rFonts w:ascii="Arial" w:cs="Arial" w:eastAsia="Arial" w:hAnsi="Arial"/>
          <w:sz w:val="22"/>
          <w:szCs w:val="22"/>
          <w:color w:val="auto"/>
        </w:rPr>
      </w:pPr>
    </w:p>
    <w:p>
      <w:pPr>
        <w:jc w:val="both"/>
        <w:ind w:right="40" w:firstLine="1305"/>
        <w:spacing w:after="0" w:line="307" w:lineRule="auto"/>
        <w:tabs>
          <w:tab w:leader="none" w:pos="1728" w:val="left"/>
        </w:tabs>
        <w:numPr>
          <w:ilvl w:val="0"/>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38" w:lineRule="exact"/>
        <w:rPr>
          <w:rFonts w:ascii="Arial" w:cs="Arial" w:eastAsia="Arial" w:hAnsi="Arial"/>
          <w:sz w:val="19"/>
          <w:szCs w:val="19"/>
          <w:color w:val="auto"/>
        </w:rPr>
      </w:pPr>
    </w:p>
    <w:p>
      <w:pPr>
        <w:ind w:left="1720" w:hanging="415"/>
        <w:spacing w:after="0"/>
        <w:tabs>
          <w:tab w:leader="none" w:pos="17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the holder of an outstanding Award.</w:t>
      </w:r>
    </w:p>
    <w:p>
      <w:pPr>
        <w:spacing w:after="0" w:line="233"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(aa)</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Performance Goal</w:t>
      </w:r>
      <w:r>
        <w:rPr>
          <w:rFonts w:ascii="Arial" w:cs="Arial" w:eastAsia="Arial" w:hAnsi="Arial"/>
          <w:sz w:val="19"/>
          <w:szCs w:val="19"/>
          <w:color w:val="auto"/>
        </w:rPr>
        <w:t>” means a performance goal established by the Committee pursuant to Section 10(c) of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15" w:lineRule="exact"/>
        <w:rPr>
          <w:sz w:val="20"/>
          <w:szCs w:val="20"/>
          <w:color w:val="auto"/>
        </w:rPr>
      </w:pPr>
    </w:p>
    <w:p>
      <w:pPr>
        <w:ind w:right="160" w:firstLine="1305"/>
        <w:spacing w:after="0" w:line="358" w:lineRule="auto"/>
        <w:tabs>
          <w:tab w:leader="none" w:pos="1837" w:val="left"/>
        </w:tabs>
        <w:numPr>
          <w:ilvl w:val="0"/>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Share</w:t>
      </w:r>
      <w:r>
        <w:rPr>
          <w:rFonts w:ascii="Arial" w:cs="Arial" w:eastAsia="Arial" w:hAnsi="Arial"/>
          <w:sz w:val="19"/>
          <w:szCs w:val="19"/>
          <w:color w:val="auto"/>
        </w:rPr>
        <w:t>” means an Award denominated in Shares which may be earned in whole or in part upon attainment of Performance Goals or other vesting criteria as the Administrator may determine pursuant to Section 10.</w:t>
      </w:r>
    </w:p>
    <w:p>
      <w:pPr>
        <w:spacing w:after="0" w:line="90" w:lineRule="exact"/>
        <w:rPr>
          <w:rFonts w:ascii="Arial" w:cs="Arial" w:eastAsia="Arial" w:hAnsi="Arial"/>
          <w:sz w:val="19"/>
          <w:szCs w:val="19"/>
          <w:color w:val="auto"/>
        </w:rPr>
      </w:pPr>
    </w:p>
    <w:p>
      <w:pPr>
        <w:ind w:right="60" w:firstLine="1305"/>
        <w:spacing w:after="0" w:line="260" w:lineRule="auto"/>
        <w:tabs>
          <w:tab w:leader="none" w:pos="1812"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Unit</w:t>
      </w:r>
      <w:r>
        <w:rPr>
          <w:rFonts w:ascii="Arial" w:cs="Arial" w:eastAsia="Arial" w:hAnsi="Arial"/>
          <w:sz w:val="22"/>
          <w:szCs w:val="22"/>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837" w:val="left"/>
        </w:tabs>
        <w:numPr>
          <w:ilvl w:val="0"/>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Period of Restriction</w:t>
      </w:r>
      <w:r>
        <w:rPr>
          <w:rFonts w:ascii="Arial" w:cs="Arial" w:eastAsia="Arial" w:hAnsi="Arial"/>
          <w:sz w:val="19"/>
          <w:szCs w:val="19"/>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25" w:lineRule="exact"/>
        <w:rPr>
          <w:rFonts w:ascii="Arial" w:cs="Arial" w:eastAsia="Arial" w:hAnsi="Arial"/>
          <w:sz w:val="19"/>
          <w:szCs w:val="19"/>
          <w:color w:val="auto"/>
        </w:rPr>
      </w:pPr>
    </w:p>
    <w:p>
      <w:pPr>
        <w:ind w:left="1820" w:hanging="515"/>
        <w:spacing w:after="0"/>
        <w:tabs>
          <w:tab w:leader="none" w:pos="18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Amended and Restated 2012 Omnibus Equity Incentive Plan.</w:t>
      </w:r>
    </w:p>
    <w:p>
      <w:pPr>
        <w:spacing w:after="0" w:line="233" w:lineRule="exact"/>
        <w:rPr>
          <w:rFonts w:ascii="Arial" w:cs="Arial" w:eastAsia="Arial" w:hAnsi="Arial"/>
          <w:sz w:val="22"/>
          <w:szCs w:val="22"/>
          <w:color w:val="auto"/>
        </w:rPr>
      </w:pPr>
    </w:p>
    <w:p>
      <w:pPr>
        <w:ind w:firstLine="1305"/>
        <w:spacing w:after="0" w:line="358" w:lineRule="auto"/>
        <w:tabs>
          <w:tab w:leader="none" w:pos="17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Date</w:t>
      </w:r>
      <w:r>
        <w:rPr>
          <w:rFonts w:ascii="Arial" w:cs="Arial" w:eastAsia="Arial" w:hAnsi="Arial"/>
          <w:sz w:val="19"/>
          <w:szCs w:val="19"/>
          <w:color w:val="auto"/>
        </w:rPr>
        <w:t>” means the effective date of the first registration statement that is filed by the Company and declared effective pursuant to Section 12(g) of the Exchange Act, with respect to any class of the Company’s securities.</w:t>
      </w:r>
    </w:p>
    <w:p>
      <w:pPr>
        <w:spacing w:after="0" w:line="90" w:lineRule="exact"/>
        <w:rPr>
          <w:rFonts w:ascii="Arial" w:cs="Arial" w:eastAsia="Arial" w:hAnsi="Arial"/>
          <w:sz w:val="19"/>
          <w:szCs w:val="19"/>
          <w:color w:val="auto"/>
        </w:rPr>
      </w:pPr>
    </w:p>
    <w:p>
      <w:pPr>
        <w:ind w:left="1840" w:hanging="535"/>
        <w:spacing w:after="0"/>
        <w:tabs>
          <w:tab w:leader="none" w:pos="18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w:t>
      </w:r>
      <w:r>
        <w:rPr>
          <w:rFonts w:ascii="Arial" w:cs="Arial" w:eastAsia="Arial" w:hAnsi="Arial"/>
          <w:sz w:val="19"/>
          <w:szCs w:val="19"/>
          <w:color w:val="auto"/>
        </w:rPr>
        <w:t>” means Shares issued pursuant to a Restricted Stock award under Section 7 of the Plan.</w:t>
      </w:r>
    </w:p>
    <w:p>
      <w:pPr>
        <w:spacing w:after="0" w:line="200" w:lineRule="exact"/>
        <w:rPr>
          <w:rFonts w:ascii="Arial" w:cs="Arial" w:eastAsia="Arial" w:hAnsi="Arial"/>
          <w:sz w:val="19"/>
          <w:szCs w:val="19"/>
          <w:color w:val="auto"/>
        </w:rPr>
      </w:pPr>
    </w:p>
    <w:p>
      <w:pPr>
        <w:spacing w:after="0" w:line="310" w:lineRule="exact"/>
        <w:rPr>
          <w:rFonts w:ascii="Arial" w:cs="Arial" w:eastAsia="Arial" w:hAnsi="Arial"/>
          <w:sz w:val="19"/>
          <w:szCs w:val="19"/>
          <w:color w:val="auto"/>
        </w:rPr>
      </w:pPr>
    </w:p>
    <w:p>
      <w:pPr>
        <w:ind w:left="5660" w:hanging="126"/>
        <w:spacing w:after="0"/>
        <w:tabs>
          <w:tab w:leader="none" w:pos="56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380"/>
          </w:cols>
          <w:pgMar w:left="240" w:top="847" w:right="279" w:bottom="1440" w:gutter="0" w:footer="0" w:header="0"/>
        </w:sectPr>
      </w:pPr>
    </w:p>
    <w:bookmarkStart w:id="67" w:name="page68"/>
    <w:bookmarkEnd w:id="67"/>
    <w:p>
      <w:pPr>
        <w:ind w:left="-656" w:right="80" w:firstLine="1305"/>
        <w:spacing w:after="0" w:line="260" w:lineRule="auto"/>
        <w:tabs>
          <w:tab w:leader="none" w:pos="11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bookkeeping entry representing an amount equal to the Fair Market Value of one Share, granted pursuant to Section 8. Each Restricted Stock Unit represents an unfunded and unsecured obligation of the Company.</w:t>
      </w:r>
    </w:p>
    <w:p>
      <w:pPr>
        <w:spacing w:after="0" w:line="177" w:lineRule="exact"/>
        <w:rPr>
          <w:rFonts w:ascii="Arial" w:cs="Arial" w:eastAsia="Arial" w:hAnsi="Arial"/>
          <w:sz w:val="22"/>
          <w:szCs w:val="22"/>
          <w:color w:val="auto"/>
        </w:rPr>
      </w:pPr>
    </w:p>
    <w:p>
      <w:pPr>
        <w:ind w:left="-656" w:right="740" w:firstLine="1305"/>
        <w:spacing w:after="0" w:line="276" w:lineRule="auto"/>
        <w:tabs>
          <w:tab w:leader="none" w:pos="1084" w:val="left"/>
        </w:tabs>
        <w:numPr>
          <w:ilvl w:val="1"/>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of the Exchange Act or any successor to Rule 16b-3, as in effect when discretion is being exercised with respect to the Plan.</w:t>
      </w:r>
    </w:p>
    <w:p>
      <w:pPr>
        <w:spacing w:after="0" w:line="160" w:lineRule="exact"/>
        <w:rPr>
          <w:rFonts w:ascii="Arial" w:cs="Arial" w:eastAsia="Arial" w:hAnsi="Arial"/>
          <w:sz w:val="22"/>
          <w:szCs w:val="22"/>
          <w:color w:val="auto"/>
        </w:rPr>
      </w:pPr>
    </w:p>
    <w:p>
      <w:pPr>
        <w:ind w:left="1084" w:hanging="435"/>
        <w:spacing w:after="0"/>
        <w:tabs>
          <w:tab w:leader="none" w:pos="1084" w:val="left"/>
        </w:tabs>
        <w:numPr>
          <w:ilvl w:val="1"/>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16(b)</w:t>
      </w:r>
      <w:r>
        <w:rPr>
          <w:rFonts w:ascii="Arial" w:cs="Arial" w:eastAsia="Arial" w:hAnsi="Arial"/>
          <w:sz w:val="22"/>
          <w:szCs w:val="22"/>
          <w:color w:val="auto"/>
        </w:rPr>
        <w:t>” means Section 16(b) of the Exchange Act.</w:t>
      </w:r>
    </w:p>
    <w:p>
      <w:pPr>
        <w:spacing w:after="0" w:line="233" w:lineRule="exact"/>
        <w:rPr>
          <w:rFonts w:ascii="Arial" w:cs="Arial" w:eastAsia="Arial" w:hAnsi="Arial"/>
          <w:sz w:val="22"/>
          <w:szCs w:val="22"/>
          <w:color w:val="auto"/>
        </w:rPr>
      </w:pPr>
    </w:p>
    <w:p>
      <w:pPr>
        <w:ind w:left="1184" w:hanging="535"/>
        <w:spacing w:after="0"/>
        <w:tabs>
          <w:tab w:leader="none" w:pos="1184" w:val="left"/>
        </w:tabs>
        <w:numPr>
          <w:ilvl w:val="1"/>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an Employee, Director or Consultant.</w:t>
      </w:r>
    </w:p>
    <w:p>
      <w:pPr>
        <w:spacing w:after="0" w:line="233" w:lineRule="exact"/>
        <w:rPr>
          <w:rFonts w:ascii="Arial" w:cs="Arial" w:eastAsia="Arial" w:hAnsi="Arial"/>
          <w:sz w:val="22"/>
          <w:szCs w:val="22"/>
          <w:color w:val="auto"/>
        </w:rPr>
      </w:pPr>
    </w:p>
    <w:p>
      <w:pPr>
        <w:ind w:left="1084" w:hanging="435"/>
        <w:spacing w:after="0"/>
        <w:tabs>
          <w:tab w:leader="none" w:pos="1084" w:val="left"/>
        </w:tabs>
        <w:numPr>
          <w:ilvl w:val="1"/>
          <w:numId w:val="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w:t>
      </w:r>
      <w:r>
        <w:rPr>
          <w:rFonts w:ascii="Arial" w:cs="Arial" w:eastAsia="Arial" w:hAnsi="Arial"/>
          <w:sz w:val="21"/>
          <w:szCs w:val="21"/>
          <w:color w:val="auto"/>
        </w:rPr>
        <w:t>” means a share of the Common Stock, as adjusted in accordance with Section 13 of the Plan.</w:t>
      </w:r>
    </w:p>
    <w:p>
      <w:pPr>
        <w:spacing w:after="0" w:line="244" w:lineRule="exact"/>
        <w:rPr>
          <w:rFonts w:ascii="Arial" w:cs="Arial" w:eastAsia="Arial" w:hAnsi="Arial"/>
          <w:sz w:val="21"/>
          <w:szCs w:val="21"/>
          <w:color w:val="auto"/>
        </w:rPr>
      </w:pPr>
    </w:p>
    <w:p>
      <w:pPr>
        <w:ind w:left="-656" w:firstLine="1305"/>
        <w:spacing w:after="0" w:line="276" w:lineRule="auto"/>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Appreciation Right</w:t>
      </w:r>
      <w:r>
        <w:rPr>
          <w:rFonts w:ascii="Arial" w:cs="Arial" w:eastAsia="Arial" w:hAnsi="Arial"/>
          <w:sz w:val="22"/>
          <w:szCs w:val="22"/>
          <w:color w:val="auto"/>
        </w:rPr>
        <w:t>” means an Award, granted alone or in connection with an Option, that pursuant to Section 9 is designated as a Stock Appreciation Right.</w:t>
      </w:r>
    </w:p>
    <w:p>
      <w:pPr>
        <w:spacing w:after="0" w:line="160" w:lineRule="exact"/>
        <w:rPr>
          <w:rFonts w:ascii="Arial" w:cs="Arial" w:eastAsia="Arial" w:hAnsi="Arial"/>
          <w:sz w:val="22"/>
          <w:szCs w:val="22"/>
          <w:color w:val="auto"/>
        </w:rPr>
      </w:pPr>
    </w:p>
    <w:p>
      <w:pPr>
        <w:ind w:left="-656" w:right="40" w:firstLine="1305"/>
        <w:spacing w:after="0" w:line="251" w:lineRule="auto"/>
        <w:tabs>
          <w:tab w:leader="none" w:pos="11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89" w:lineRule="exact"/>
        <w:rPr>
          <w:rFonts w:ascii="Arial" w:cs="Arial" w:eastAsia="Arial" w:hAnsi="Arial"/>
          <w:sz w:val="22"/>
          <w:szCs w:val="22"/>
          <w:color w:val="auto"/>
        </w:rPr>
      </w:pPr>
    </w:p>
    <w:p>
      <w:pPr>
        <w:ind w:left="-656" w:right="20" w:firstLine="1305"/>
        <w:spacing w:after="0" w:line="301" w:lineRule="auto"/>
        <w:tabs>
          <w:tab w:leader="none" w:pos="1180" w:val="left"/>
        </w:tabs>
        <w:numPr>
          <w:ilvl w:val="1"/>
          <w:numId w:val="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Unvested Dividends</w:t>
      </w:r>
      <w:r>
        <w:rPr>
          <w:rFonts w:ascii="Arial" w:cs="Arial" w:eastAsia="Arial" w:hAnsi="Arial"/>
          <w:sz w:val="21"/>
          <w:szCs w:val="21"/>
          <w:color w:val="auto"/>
        </w:rPr>
        <w:t>” means, during the Period of Restriction, any dividends and other distributions (whether paid in cash, stock or property) declared and paid by the Company with respect to Shares of Restricted Stock.</w:t>
      </w:r>
    </w:p>
    <w:p>
      <w:pPr>
        <w:spacing w:after="0" w:line="137" w:lineRule="exact"/>
        <w:rPr>
          <w:rFonts w:ascii="Arial" w:cs="Arial" w:eastAsia="Arial" w:hAnsi="Arial"/>
          <w:sz w:val="21"/>
          <w:szCs w:val="21"/>
          <w:color w:val="auto"/>
        </w:rPr>
      </w:pPr>
    </w:p>
    <w:p>
      <w:pPr>
        <w:ind w:left="344" w:hanging="344"/>
        <w:spacing w:after="0"/>
        <w:tabs>
          <w:tab w:leader="none" w:pos="34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56" w:right="60" w:firstLine="1305"/>
        <w:spacing w:after="0" w:line="260" w:lineRule="auto"/>
        <w:tabs>
          <w:tab w:leader="none" w:pos="1060"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Stock Subject to the Plan</w:t>
      </w:r>
      <w:r>
        <w:rPr>
          <w:rFonts w:ascii="Arial" w:cs="Arial" w:eastAsia="Arial" w:hAnsi="Arial"/>
          <w:sz w:val="21"/>
          <w:szCs w:val="21"/>
          <w:color w:val="auto"/>
        </w:rPr>
        <w:t>. Subject to the provisions of Section 13 of the Plan, the maximum aggregate number of Shares that may be issued under the Plan is 6,750,000 Shares (the “</w:t>
      </w:r>
      <w:r>
        <w:rPr>
          <w:rFonts w:ascii="Arial" w:cs="Arial" w:eastAsia="Arial" w:hAnsi="Arial"/>
          <w:sz w:val="21"/>
          <w:szCs w:val="21"/>
          <w:u w:val="single" w:color="auto"/>
          <w:color w:val="auto"/>
        </w:rPr>
        <w:t>Initial Share Reserve</w:t>
      </w:r>
      <w:r>
        <w:rPr>
          <w:rFonts w:ascii="Arial" w:cs="Arial" w:eastAsia="Arial" w:hAnsi="Arial"/>
          <w:sz w:val="21"/>
          <w:szCs w:val="21"/>
          <w:color w:val="auto"/>
        </w:rPr>
        <w:t>”). Approximately 1,750,000 of the Initial Share Reserve shall be used immediately following the Registration Date to grant Nonstatutory Stock Options in replacement of existing outstanding Value Appreciation Rights previously granted under the Shutterstock Images LLC Value Appreciation Plan. The Shares may be authorized, but unissued, or reacquired Common Stock. Notwithstanding the foregoing and, subject to adjustment as provided in Section 13, the maximum number of Shares that may be issued upon the exercise of Incentive Stock Options will equal the aggregate Share number stated in this Section 3(a), plus, to the extent allowable under Section 422 of the Code and the Treasury Regulations promulgated thereunder, any Shares that become available for issuance under the Plan pursuant to Sections 3(b) and 3(c).</w:t>
      </w:r>
    </w:p>
    <w:p>
      <w:pPr>
        <w:spacing w:after="0" w:line="184" w:lineRule="exact"/>
        <w:rPr>
          <w:rFonts w:ascii="Arial" w:cs="Arial" w:eastAsia="Arial" w:hAnsi="Arial"/>
          <w:sz w:val="21"/>
          <w:szCs w:val="21"/>
          <w:color w:val="auto"/>
        </w:rPr>
      </w:pPr>
    </w:p>
    <w:p>
      <w:pPr>
        <w:ind w:left="-656" w:right="280" w:firstLine="1305"/>
        <w:spacing w:after="0" w:line="276" w:lineRule="auto"/>
        <w:tabs>
          <w:tab w:leader="none" w:pos="1072"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Automatic Share Reserve Increase</w:t>
      </w:r>
      <w:r>
        <w:rPr>
          <w:rFonts w:ascii="Arial" w:cs="Arial" w:eastAsia="Arial" w:hAnsi="Arial"/>
          <w:sz w:val="22"/>
          <w:szCs w:val="22"/>
          <w:color w:val="auto"/>
        </w:rPr>
        <w:t>. Subject to the provisions of Section 13 of the Plan, the number of Shares available for issuance under the Plan will be increased on</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5004" w:hanging="126"/>
        <w:spacing w:after="0"/>
        <w:tabs>
          <w:tab w:leader="none" w:pos="5004" w:val="left"/>
        </w:tabs>
        <w:numPr>
          <w:ilvl w:val="2"/>
          <w:numId w:val="57"/>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0744"/>
          </w:cols>
          <w:pgMar w:left="896" w:top="847" w:right="259" w:bottom="1440" w:gutter="0" w:footer="0" w:header="0"/>
        </w:sectPr>
      </w:pPr>
    </w:p>
    <w:bookmarkStart w:id="68" w:name="page69"/>
    <w:bookmarkEnd w:id="68"/>
    <w:p>
      <w:pPr>
        <w:ind w:right="300"/>
        <w:spacing w:after="0" w:line="253" w:lineRule="auto"/>
        <w:rPr>
          <w:sz w:val="20"/>
          <w:szCs w:val="20"/>
          <w:color w:val="auto"/>
        </w:rPr>
      </w:pPr>
      <w:r>
        <w:rPr>
          <w:rFonts w:ascii="Arial" w:cs="Arial" w:eastAsia="Arial" w:hAnsi="Arial"/>
          <w:sz w:val="22"/>
          <w:szCs w:val="22"/>
          <w:color w:val="auto"/>
        </w:rPr>
        <w:t>the first day of each Fiscal Year beginning with the 2013 Fiscal Year, in an amount equal to the least of (i) 1,500,000 Shares, (ii) three percent (3%) of the outstanding Shares on the last day of the immediately preceding Fiscal Year or (iii) such number of Shares determined by the Board.</w:t>
      </w:r>
    </w:p>
    <w:p>
      <w:pPr>
        <w:spacing w:after="0" w:line="186" w:lineRule="exact"/>
        <w:rPr>
          <w:sz w:val="20"/>
          <w:szCs w:val="20"/>
          <w:color w:val="auto"/>
        </w:rPr>
      </w:pPr>
    </w:p>
    <w:p>
      <w:pPr>
        <w:ind w:right="80" w:firstLine="1305"/>
        <w:spacing w:after="0" w:line="288" w:lineRule="auto"/>
        <w:tabs>
          <w:tab w:leader="none" w:pos="1716"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Lapsed Awards</w:t>
      </w:r>
      <w:r>
        <w:rPr>
          <w:rFonts w:ascii="Arial" w:cs="Arial" w:eastAsia="Arial" w:hAnsi="Arial"/>
          <w:sz w:val="19"/>
          <w:szCs w:val="19"/>
          <w:color w:val="auto"/>
        </w:rPr>
        <w:t>. To the extent an Award expires, is surrendered pursuant to an Exchange Program or becomes unexercisable without having been exercised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Notwithstanding the foregoing (and except with respect to Shares of Restricted Stock that are forfeited rather than vesting),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62" w:lineRule="exact"/>
        <w:rPr>
          <w:rFonts w:ascii="Arial" w:cs="Arial" w:eastAsia="Arial" w:hAnsi="Arial"/>
          <w:sz w:val="19"/>
          <w:szCs w:val="19"/>
          <w:color w:val="auto"/>
        </w:rPr>
      </w:pPr>
    </w:p>
    <w:p>
      <w:pPr>
        <w:ind w:firstLine="1305"/>
        <w:spacing w:after="0" w:line="264" w:lineRule="auto"/>
        <w:tabs>
          <w:tab w:leader="none" w:pos="1728"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Substitute Awards</w:t>
      </w:r>
      <w:r>
        <w:rPr>
          <w:rFonts w:ascii="Arial" w:cs="Arial" w:eastAsia="Arial" w:hAnsi="Arial"/>
          <w:sz w:val="21"/>
          <w:szCs w:val="21"/>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3 or any sublimits contained in the Plan, except as may be required by reason of Section 422 and related provisions of the Code.</w:t>
      </w:r>
    </w:p>
    <w:p>
      <w:pPr>
        <w:spacing w:after="0" w:line="175" w:lineRule="exact"/>
        <w:rPr>
          <w:rFonts w:ascii="Arial" w:cs="Arial" w:eastAsia="Arial" w:hAnsi="Arial"/>
          <w:sz w:val="21"/>
          <w:szCs w:val="21"/>
          <w:color w:val="auto"/>
        </w:rPr>
      </w:pPr>
    </w:p>
    <w:p>
      <w:pPr>
        <w:ind w:left="1000" w:hanging="344"/>
        <w:spacing w:after="0"/>
        <w:tabs>
          <w:tab w:leader="none" w:pos="10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0" w:firstLine="1953"/>
        <w:spacing w:after="0" w:line="276" w:lineRule="auto"/>
        <w:tabs>
          <w:tab w:leader="none" w:pos="2329" w:val="left"/>
        </w:tabs>
        <w:numPr>
          <w:ilvl w:val="2"/>
          <w:numId w:val="59"/>
        </w:numPr>
        <w:rPr>
          <w:rFonts w:ascii="Arial" w:cs="Arial" w:eastAsia="Arial" w:hAnsi="Arial"/>
          <w:sz w:val="22"/>
          <w:szCs w:val="22"/>
          <w:color w:val="auto"/>
        </w:rPr>
      </w:pPr>
      <w:r>
        <w:rPr>
          <w:rFonts w:ascii="Arial" w:cs="Arial" w:eastAsia="Arial" w:hAnsi="Arial"/>
          <w:sz w:val="22"/>
          <w:szCs w:val="22"/>
          <w:u w:val="single" w:color="auto"/>
          <w:color w:val="auto"/>
        </w:rPr>
        <w:t>Multiple Administrative Bodies</w:t>
      </w:r>
      <w:r>
        <w:rPr>
          <w:rFonts w:ascii="Arial" w:cs="Arial" w:eastAsia="Arial" w:hAnsi="Arial"/>
          <w:sz w:val="22"/>
          <w:szCs w:val="22"/>
          <w:color w:val="auto"/>
        </w:rPr>
        <w:t>. Different Committees with respect to different groups of Service Providers may administer the Plan.</w:t>
      </w:r>
    </w:p>
    <w:p>
      <w:pPr>
        <w:spacing w:after="0" w:line="160" w:lineRule="exact"/>
        <w:rPr>
          <w:rFonts w:ascii="Arial" w:cs="Arial" w:eastAsia="Arial" w:hAnsi="Arial"/>
          <w:sz w:val="22"/>
          <w:szCs w:val="22"/>
          <w:color w:val="auto"/>
        </w:rPr>
      </w:pPr>
    </w:p>
    <w:p>
      <w:pPr>
        <w:ind w:right="360" w:firstLine="1953"/>
        <w:spacing w:after="0" w:line="320" w:lineRule="auto"/>
        <w:tabs>
          <w:tab w:leader="none" w:pos="2389" w:val="left"/>
        </w:tabs>
        <w:numPr>
          <w:ilvl w:val="2"/>
          <w:numId w:val="59"/>
        </w:numPr>
        <w:rPr>
          <w:rFonts w:ascii="Arial" w:cs="Arial" w:eastAsia="Arial" w:hAnsi="Arial"/>
          <w:sz w:val="19"/>
          <w:szCs w:val="19"/>
          <w:color w:val="auto"/>
        </w:rPr>
      </w:pPr>
      <w:r>
        <w:rPr>
          <w:rFonts w:ascii="Arial" w:cs="Arial" w:eastAsia="Arial" w:hAnsi="Arial"/>
          <w:sz w:val="19"/>
          <w:szCs w:val="19"/>
          <w:u w:val="single" w:color="auto"/>
          <w:color w:val="auto"/>
        </w:rPr>
        <w:t>Section 162(m)</w:t>
      </w:r>
      <w:r>
        <w:rPr>
          <w:rFonts w:ascii="Arial" w:cs="Arial" w:eastAsia="Arial" w:hAnsi="Arial"/>
          <w:sz w:val="19"/>
          <w:szCs w:val="19"/>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25" w:lineRule="exact"/>
        <w:rPr>
          <w:rFonts w:ascii="Arial" w:cs="Arial" w:eastAsia="Arial" w:hAnsi="Arial"/>
          <w:sz w:val="19"/>
          <w:szCs w:val="19"/>
          <w:color w:val="auto"/>
        </w:rPr>
      </w:pPr>
    </w:p>
    <w:p>
      <w:pPr>
        <w:ind w:right="140" w:firstLine="1953"/>
        <w:spacing w:after="0" w:line="358" w:lineRule="auto"/>
        <w:tabs>
          <w:tab w:leader="none" w:pos="2449" w:val="left"/>
        </w:tabs>
        <w:numPr>
          <w:ilvl w:val="2"/>
          <w:numId w:val="59"/>
        </w:numPr>
        <w:rPr>
          <w:rFonts w:ascii="Arial" w:cs="Arial" w:eastAsia="Arial" w:hAnsi="Arial"/>
          <w:sz w:val="19"/>
          <w:szCs w:val="19"/>
          <w:color w:val="auto"/>
        </w:rPr>
      </w:pPr>
      <w:r>
        <w:rPr>
          <w:rFonts w:ascii="Arial" w:cs="Arial" w:eastAsia="Arial" w:hAnsi="Arial"/>
          <w:sz w:val="19"/>
          <w:szCs w:val="19"/>
          <w:u w:val="single" w:color="auto"/>
          <w:color w:val="auto"/>
        </w:rPr>
        <w:t>Rule 16b-3</w:t>
      </w:r>
      <w:r>
        <w:rPr>
          <w:rFonts w:ascii="Arial" w:cs="Arial" w:eastAsia="Arial" w:hAnsi="Arial"/>
          <w:sz w:val="19"/>
          <w:szCs w:val="19"/>
          <w:color w:val="auto"/>
        </w:rPr>
        <w:t>. To the extent desirable to qualify transactions hereunder as exempt under Rule 16b-3, the transactions contemplated hereunder will be structured to satisfy the requirements for exemption under Rule 16b-3.</w:t>
      </w:r>
    </w:p>
    <w:p>
      <w:pPr>
        <w:spacing w:after="0" w:line="334" w:lineRule="exact"/>
        <w:rPr>
          <w:rFonts w:ascii="Arial" w:cs="Arial" w:eastAsia="Arial" w:hAnsi="Arial"/>
          <w:sz w:val="19"/>
          <w:szCs w:val="19"/>
          <w:color w:val="auto"/>
        </w:rPr>
      </w:pPr>
    </w:p>
    <w:p>
      <w:pPr>
        <w:ind w:left="5660" w:hanging="126"/>
        <w:spacing w:after="0"/>
        <w:tabs>
          <w:tab w:leader="none" w:pos="5660" w:val="left"/>
        </w:tabs>
        <w:numPr>
          <w:ilvl w:val="3"/>
          <w:numId w:val="59"/>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380"/>
          </w:cols>
          <w:pgMar w:left="240" w:top="847" w:right="279" w:bottom="1440" w:gutter="0" w:footer="0" w:header="0"/>
        </w:sectPr>
      </w:pPr>
    </w:p>
    <w:bookmarkStart w:id="69" w:name="page70"/>
    <w:bookmarkEnd w:id="69"/>
    <w:p>
      <w:pPr>
        <w:ind w:left="2440" w:hanging="487"/>
        <w:spacing w:after="0"/>
        <w:tabs>
          <w:tab w:leader="none" w:pos="2440" w:val="left"/>
        </w:tabs>
        <w:numPr>
          <w:ilvl w:val="2"/>
          <w:numId w:val="60"/>
        </w:numPr>
        <w:rPr>
          <w:rFonts w:ascii="Arial" w:cs="Arial" w:eastAsia="Arial" w:hAnsi="Arial"/>
          <w:sz w:val="19"/>
          <w:szCs w:val="19"/>
          <w:color w:val="auto"/>
        </w:rPr>
      </w:pPr>
      <w:r>
        <w:rPr>
          <w:rFonts w:ascii="Arial" w:cs="Arial" w:eastAsia="Arial" w:hAnsi="Arial"/>
          <w:sz w:val="19"/>
          <w:szCs w:val="19"/>
          <w:u w:val="single" w:color="auto"/>
          <w:color w:val="auto"/>
        </w:rPr>
        <w:t>Other Administration</w:t>
      </w:r>
      <w:r>
        <w:rPr>
          <w:rFonts w:ascii="Arial" w:cs="Arial" w:eastAsia="Arial" w:hAnsi="Arial"/>
          <w:sz w:val="19"/>
          <w:szCs w:val="19"/>
          <w:color w:val="auto"/>
        </w:rPr>
        <w:t>. Other than as provided above, the Plan will be administered by (A) the Board or</w:t>
      </w:r>
    </w:p>
    <w:p>
      <w:pPr>
        <w:spacing w:after="0" w:line="56" w:lineRule="exact"/>
        <w:rPr>
          <w:rFonts w:ascii="Arial" w:cs="Arial" w:eastAsia="Arial" w:hAnsi="Arial"/>
          <w:sz w:val="19"/>
          <w:szCs w:val="19"/>
          <w:color w:val="auto"/>
        </w:rPr>
      </w:pPr>
    </w:p>
    <w:p>
      <w:pPr>
        <w:ind w:left="360" w:hanging="352"/>
        <w:spacing w:after="0"/>
        <w:tabs>
          <w:tab w:leader="none" w:pos="3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Committee, which committee will be constituted to satisfy Applicable Laws.</w:t>
      </w:r>
    </w:p>
    <w:p>
      <w:pPr>
        <w:spacing w:after="0" w:line="215" w:lineRule="exact"/>
        <w:rPr>
          <w:rFonts w:ascii="Arial" w:cs="Arial" w:eastAsia="Arial" w:hAnsi="Arial"/>
          <w:sz w:val="22"/>
          <w:szCs w:val="22"/>
          <w:color w:val="auto"/>
        </w:rPr>
      </w:pPr>
    </w:p>
    <w:p>
      <w:pPr>
        <w:ind w:left="1740" w:hanging="435"/>
        <w:spacing w:after="0"/>
        <w:tabs>
          <w:tab w:leader="none" w:pos="1740"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Powers of the Administrator</w:t>
      </w:r>
      <w:r>
        <w:rPr>
          <w:rFonts w:ascii="Arial" w:cs="Arial" w:eastAsia="Arial" w:hAnsi="Arial"/>
          <w:sz w:val="19"/>
          <w:szCs w:val="19"/>
          <w:color w:val="auto"/>
        </w:rPr>
        <w:t>. Subject to the provisions of the Plan, the Administrator will have the authority, 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discretion:</w:t>
      </w:r>
    </w:p>
    <w:p>
      <w:pPr>
        <w:spacing w:after="0" w:line="215" w:lineRule="exact"/>
        <w:rPr>
          <w:rFonts w:ascii="Arial" w:cs="Arial" w:eastAsia="Arial" w:hAnsi="Arial"/>
          <w:sz w:val="19"/>
          <w:szCs w:val="19"/>
          <w:color w:val="auto"/>
        </w:rPr>
      </w:pPr>
    </w:p>
    <w:p>
      <w:pPr>
        <w:ind w:left="2340" w:hanging="387"/>
        <w:spacing w:after="0"/>
        <w:tabs>
          <w:tab w:leader="none" w:pos="2340"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determine the Fair Market Value;</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select the Service Providers to whom Awards may be granted hereunder;</w:t>
      </w:r>
    </w:p>
    <w:p>
      <w:pPr>
        <w:spacing w:after="0" w:line="233" w:lineRule="exact"/>
        <w:rPr>
          <w:rFonts w:ascii="Arial" w:cs="Arial" w:eastAsia="Arial" w:hAnsi="Arial"/>
          <w:sz w:val="22"/>
          <w:szCs w:val="22"/>
          <w:color w:val="auto"/>
        </w:rPr>
      </w:pPr>
    </w:p>
    <w:p>
      <w:pPr>
        <w:ind w:left="2460" w:hanging="507"/>
        <w:spacing w:after="0"/>
        <w:tabs>
          <w:tab w:leader="none" w:pos="2460"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determine the number of Shares to be covered by each Award granted hereunder;</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approve forms of Award Agreements for use under the Plan;</w:t>
      </w:r>
    </w:p>
    <w:p>
      <w:pPr>
        <w:spacing w:after="0" w:line="233" w:lineRule="exact"/>
        <w:rPr>
          <w:rFonts w:ascii="Arial" w:cs="Arial" w:eastAsia="Arial" w:hAnsi="Arial"/>
          <w:sz w:val="22"/>
          <w:szCs w:val="22"/>
          <w:color w:val="auto"/>
        </w:rPr>
      </w:pPr>
    </w:p>
    <w:p>
      <w:pPr>
        <w:ind w:firstLine="1953"/>
        <w:spacing w:after="0" w:line="251" w:lineRule="auto"/>
        <w:tabs>
          <w:tab w:leader="none" w:pos="2377"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9" w:lineRule="exact"/>
        <w:rPr>
          <w:rFonts w:ascii="Arial" w:cs="Arial" w:eastAsia="Arial" w:hAnsi="Arial"/>
          <w:sz w:val="22"/>
          <w:szCs w:val="22"/>
          <w:color w:val="auto"/>
        </w:rPr>
      </w:pPr>
    </w:p>
    <w:p>
      <w:pPr>
        <w:ind w:left="2440" w:hanging="487"/>
        <w:spacing w:after="0"/>
        <w:tabs>
          <w:tab w:leader="none" w:pos="2440"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construe and interpret the terms of the Plan and Awards granted pursuant to the Plan;</w:t>
      </w:r>
    </w:p>
    <w:p>
      <w:pPr>
        <w:spacing w:after="0" w:line="233" w:lineRule="exact"/>
        <w:rPr>
          <w:rFonts w:ascii="Arial" w:cs="Arial" w:eastAsia="Arial" w:hAnsi="Arial"/>
          <w:sz w:val="22"/>
          <w:szCs w:val="22"/>
          <w:color w:val="auto"/>
        </w:rPr>
      </w:pPr>
    </w:p>
    <w:p>
      <w:pPr>
        <w:ind w:right="620" w:firstLine="1953"/>
        <w:spacing w:after="0" w:line="320" w:lineRule="auto"/>
        <w:tabs>
          <w:tab w:leader="none" w:pos="2497" w:val="left"/>
        </w:tabs>
        <w:numPr>
          <w:ilvl w:val="2"/>
          <w:numId w:val="61"/>
        </w:numPr>
        <w:rPr>
          <w:rFonts w:ascii="Arial" w:cs="Arial" w:eastAsia="Arial" w:hAnsi="Arial"/>
          <w:sz w:val="19"/>
          <w:szCs w:val="19"/>
          <w:color w:val="auto"/>
        </w:rPr>
      </w:pPr>
      <w:r>
        <w:rPr>
          <w:rFonts w:ascii="Arial" w:cs="Arial" w:eastAsia="Arial" w:hAnsi="Arial"/>
          <w:sz w:val="19"/>
          <w:szCs w:val="19"/>
          <w:color w:val="auto"/>
        </w:rPr>
        <w:t>to prescribe, amend and rescind rules and regulations relating to the Plan, including rules and regulations established for the purpose of satisfying applicable foreign laws, for qualifying for favorable tax treatment under applicable foreign laws or facilitating compliance with foreign laws; sub-plans may be created for any of these purposes;</w:t>
      </w:r>
    </w:p>
    <w:p>
      <w:pPr>
        <w:spacing w:after="0" w:line="125" w:lineRule="exact"/>
        <w:rPr>
          <w:rFonts w:ascii="Arial" w:cs="Arial" w:eastAsia="Arial" w:hAnsi="Arial"/>
          <w:sz w:val="19"/>
          <w:szCs w:val="19"/>
          <w:color w:val="auto"/>
        </w:rPr>
      </w:pPr>
    </w:p>
    <w:p>
      <w:pPr>
        <w:ind w:right="240" w:firstLine="1953"/>
        <w:spacing w:after="0" w:line="320" w:lineRule="auto"/>
        <w:tabs>
          <w:tab w:leader="none" w:pos="2557" w:val="left"/>
        </w:tabs>
        <w:numPr>
          <w:ilvl w:val="2"/>
          <w:numId w:val="61"/>
        </w:numPr>
        <w:rPr>
          <w:rFonts w:ascii="Arial" w:cs="Arial" w:eastAsia="Arial" w:hAnsi="Arial"/>
          <w:sz w:val="19"/>
          <w:szCs w:val="19"/>
          <w:color w:val="auto"/>
        </w:rPr>
      </w:pPr>
      <w:r>
        <w:rPr>
          <w:rFonts w:ascii="Arial" w:cs="Arial" w:eastAsia="Arial" w:hAnsi="Arial"/>
          <w:sz w:val="19"/>
          <w:szCs w:val="19"/>
          <w:color w:val="auto"/>
        </w:rPr>
        <w:t>to modify or amend each Award (subject to Section 19 of the Plan), including but not limited to the discretionary authority to extend the post-termination exercisability period of Awards and to extend the maximum term of an Option (subject to Section 6(a) of the Plan and, with respect to Incentive Stock Options, Section 6(b) of the Plan);</w:t>
      </w:r>
    </w:p>
    <w:p>
      <w:pPr>
        <w:spacing w:after="0" w:line="125" w:lineRule="exact"/>
        <w:rPr>
          <w:rFonts w:ascii="Arial" w:cs="Arial" w:eastAsia="Arial" w:hAnsi="Arial"/>
          <w:sz w:val="19"/>
          <w:szCs w:val="19"/>
          <w:color w:val="auto"/>
        </w:rPr>
      </w:pPr>
    </w:p>
    <w:p>
      <w:pPr>
        <w:ind w:left="2440" w:hanging="487"/>
        <w:spacing w:after="0"/>
        <w:tabs>
          <w:tab w:leader="none" w:pos="2440" w:val="left"/>
        </w:tabs>
        <w:numPr>
          <w:ilvl w:val="2"/>
          <w:numId w:val="61"/>
        </w:numPr>
        <w:rPr>
          <w:rFonts w:ascii="Arial" w:cs="Arial" w:eastAsia="Arial" w:hAnsi="Arial"/>
          <w:sz w:val="19"/>
          <w:szCs w:val="19"/>
          <w:color w:val="auto"/>
        </w:rPr>
      </w:pPr>
      <w:r>
        <w:rPr>
          <w:rFonts w:ascii="Arial" w:cs="Arial" w:eastAsia="Arial" w:hAnsi="Arial"/>
          <w:sz w:val="19"/>
          <w:szCs w:val="19"/>
          <w:color w:val="auto"/>
        </w:rPr>
        <w:t>to allow Participants to satisfy withholding tax obligations in such manner as prescribed in Section 14</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Plan;</w:t>
      </w:r>
    </w:p>
    <w:p>
      <w:pPr>
        <w:spacing w:after="0" w:line="215" w:lineRule="exact"/>
        <w:rPr>
          <w:rFonts w:ascii="Arial" w:cs="Arial" w:eastAsia="Arial" w:hAnsi="Arial"/>
          <w:sz w:val="19"/>
          <w:szCs w:val="19"/>
          <w:color w:val="auto"/>
        </w:rPr>
      </w:pPr>
    </w:p>
    <w:p>
      <w:pPr>
        <w:ind w:right="20" w:firstLine="1953"/>
        <w:spacing w:after="0" w:line="276" w:lineRule="auto"/>
        <w:tabs>
          <w:tab w:leader="none" w:pos="2377"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authorize any person to execute on behalf of the Company any instrument required to effect the grant of an Award previously granted by the Administrator;</w:t>
      </w:r>
    </w:p>
    <w:p>
      <w:pPr>
        <w:spacing w:after="0" w:line="160" w:lineRule="exact"/>
        <w:rPr>
          <w:rFonts w:ascii="Arial" w:cs="Arial" w:eastAsia="Arial" w:hAnsi="Arial"/>
          <w:sz w:val="22"/>
          <w:szCs w:val="22"/>
          <w:color w:val="auto"/>
        </w:rPr>
      </w:pPr>
    </w:p>
    <w:p>
      <w:pPr>
        <w:ind w:right="240" w:firstLine="1953"/>
        <w:spacing w:after="0" w:line="276" w:lineRule="auto"/>
        <w:tabs>
          <w:tab w:leader="none" w:pos="2437" w:val="left"/>
        </w:tabs>
        <w:numPr>
          <w:ilvl w:val="2"/>
          <w:numId w:val="61"/>
        </w:numPr>
        <w:rPr>
          <w:rFonts w:ascii="Arial" w:cs="Arial" w:eastAsia="Arial" w:hAnsi="Arial"/>
          <w:sz w:val="22"/>
          <w:szCs w:val="22"/>
          <w:color w:val="auto"/>
        </w:rPr>
      </w:pPr>
      <w:r>
        <w:rPr>
          <w:rFonts w:ascii="Arial" w:cs="Arial" w:eastAsia="Arial" w:hAnsi="Arial"/>
          <w:sz w:val="22"/>
          <w:szCs w:val="22"/>
          <w:color w:val="auto"/>
        </w:rPr>
        <w:t>to allow a Participant to defer the receipt of the payment of cash or the delivery of Shares that would otherwise be due to such Participant under an Award; and</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5660" w:hanging="126"/>
        <w:spacing w:after="0"/>
        <w:tabs>
          <w:tab w:leader="none" w:pos="5660" w:val="left"/>
        </w:tabs>
        <w:numPr>
          <w:ilvl w:val="3"/>
          <w:numId w:val="61"/>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380"/>
          </w:cols>
          <w:pgMar w:left="240" w:top="847" w:right="279" w:bottom="1440" w:gutter="0" w:footer="0" w:header="0"/>
        </w:sectPr>
      </w:pPr>
    </w:p>
    <w:bookmarkStart w:id="70" w:name="page71"/>
    <w:bookmarkEnd w:id="70"/>
    <w:p>
      <w:pPr>
        <w:ind w:left="1844" w:hanging="547"/>
        <w:spacing w:after="0"/>
        <w:tabs>
          <w:tab w:leader="none" w:pos="1844" w:val="left"/>
        </w:tabs>
        <w:numPr>
          <w:ilvl w:val="2"/>
          <w:numId w:val="62"/>
        </w:numPr>
        <w:rPr>
          <w:rFonts w:ascii="Arial" w:cs="Arial" w:eastAsia="Arial" w:hAnsi="Arial"/>
          <w:sz w:val="21"/>
          <w:szCs w:val="21"/>
          <w:color w:val="auto"/>
        </w:rPr>
      </w:pPr>
      <w:r>
        <w:rPr>
          <w:rFonts w:ascii="Arial" w:cs="Arial" w:eastAsia="Arial" w:hAnsi="Arial"/>
          <w:sz w:val="21"/>
          <w:szCs w:val="21"/>
          <w:color w:val="auto"/>
        </w:rPr>
        <w:t>to make all other determinations deemed necessary or advisable for administering the Plan.</w:t>
      </w:r>
    </w:p>
    <w:p>
      <w:pPr>
        <w:spacing w:after="0" w:line="244" w:lineRule="exact"/>
        <w:rPr>
          <w:rFonts w:ascii="Arial" w:cs="Arial" w:eastAsia="Arial" w:hAnsi="Arial"/>
          <w:sz w:val="21"/>
          <w:szCs w:val="21"/>
          <w:color w:val="auto"/>
        </w:rPr>
      </w:pPr>
    </w:p>
    <w:p>
      <w:pPr>
        <w:ind w:left="-656" w:right="180" w:firstLine="1305"/>
        <w:spacing w:after="0" w:line="276" w:lineRule="auto"/>
        <w:tabs>
          <w:tab w:leader="none" w:pos="106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The Administrator’s decisions, determinations and interpretations will be final and binding on all Participants and any other holders of Awards.</w:t>
      </w:r>
    </w:p>
    <w:p>
      <w:pPr>
        <w:spacing w:after="0" w:line="160" w:lineRule="exact"/>
        <w:rPr>
          <w:rFonts w:ascii="Arial" w:cs="Arial" w:eastAsia="Arial" w:hAnsi="Arial"/>
          <w:sz w:val="22"/>
          <w:szCs w:val="22"/>
          <w:color w:val="auto"/>
        </w:rPr>
      </w:pPr>
    </w:p>
    <w:p>
      <w:pPr>
        <w:ind w:left="-656" w:right="280" w:firstLine="1305"/>
        <w:spacing w:after="0" w:line="260" w:lineRule="auto"/>
        <w:tabs>
          <w:tab w:leader="none" w:pos="1072"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Exchange Program</w:t>
      </w:r>
      <w:r>
        <w:rPr>
          <w:rFonts w:ascii="Arial" w:cs="Arial" w:eastAsia="Arial" w:hAnsi="Arial"/>
          <w:sz w:val="22"/>
          <w:szCs w:val="22"/>
          <w:color w:val="auto"/>
        </w:rPr>
        <w:t>. Notwithstanding anything to the contrary in this Section 4, the Committee shall not implement an Exchange Program without the approval of the holders of a majority of the Shares that are present in person or by proxy and entitled to vote at any annual or special meeting of Company’s shareholders.</w:t>
      </w:r>
    </w:p>
    <w:p>
      <w:pPr>
        <w:spacing w:after="0" w:line="177" w:lineRule="exact"/>
        <w:rPr>
          <w:rFonts w:ascii="Arial" w:cs="Arial" w:eastAsia="Arial" w:hAnsi="Arial"/>
          <w:sz w:val="22"/>
          <w:szCs w:val="22"/>
          <w:color w:val="auto"/>
        </w:rPr>
      </w:pPr>
    </w:p>
    <w:p>
      <w:pPr>
        <w:ind w:left="-656" w:firstLine="1305"/>
        <w:spacing w:after="0" w:line="294" w:lineRule="auto"/>
        <w:tabs>
          <w:tab w:leader="none" w:pos="1060"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Delegation by the Board</w:t>
      </w:r>
      <w:r>
        <w:rPr>
          <w:rFonts w:ascii="Arial" w:cs="Arial" w:eastAsia="Arial" w:hAnsi="Arial"/>
          <w:sz w:val="19"/>
          <w:szCs w:val="19"/>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Exchange Act) or to any Officer of the Company.</w:t>
      </w:r>
    </w:p>
    <w:p>
      <w:pPr>
        <w:spacing w:after="0" w:line="152" w:lineRule="exact"/>
        <w:rPr>
          <w:rFonts w:ascii="Arial" w:cs="Arial" w:eastAsia="Arial" w:hAnsi="Arial"/>
          <w:sz w:val="19"/>
          <w:szCs w:val="19"/>
          <w:color w:val="auto"/>
        </w:rPr>
      </w:pPr>
    </w:p>
    <w:p>
      <w:pPr>
        <w:ind w:left="344" w:hanging="344"/>
        <w:spacing w:after="0"/>
        <w:tabs>
          <w:tab w:leader="none" w:pos="34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Award Eligibility and Limitations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56" w:right="140" w:firstLine="1305"/>
        <w:spacing w:after="0" w:line="260" w:lineRule="auto"/>
        <w:tabs>
          <w:tab w:leader="none" w:pos="106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Award Eligibility</w:t>
      </w:r>
      <w:r>
        <w:rPr>
          <w:rFonts w:ascii="Arial" w:cs="Arial" w:eastAsia="Arial" w:hAnsi="Arial"/>
          <w:sz w:val="22"/>
          <w:szCs w:val="22"/>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77" w:lineRule="exact"/>
        <w:rPr>
          <w:rFonts w:ascii="Arial" w:cs="Arial" w:eastAsia="Arial" w:hAnsi="Arial"/>
          <w:sz w:val="22"/>
          <w:szCs w:val="22"/>
          <w:color w:val="auto"/>
        </w:rPr>
      </w:pPr>
    </w:p>
    <w:p>
      <w:pPr>
        <w:ind w:left="-656" w:right="540" w:firstLine="1305"/>
        <w:spacing w:after="0" w:line="276" w:lineRule="auto"/>
        <w:tabs>
          <w:tab w:leader="none" w:pos="1072"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Award Limitations</w:t>
      </w:r>
      <w:r>
        <w:rPr>
          <w:rFonts w:ascii="Arial" w:cs="Arial" w:eastAsia="Arial" w:hAnsi="Arial"/>
          <w:sz w:val="22"/>
          <w:szCs w:val="22"/>
          <w:color w:val="auto"/>
        </w:rPr>
        <w:t>. The following limits shall apply to the grant of any Award if, at the time of grant, the Company is a “publicly held corporation” within the meaning of Section 162(m) of the Code:</w:t>
      </w:r>
    </w:p>
    <w:p>
      <w:pPr>
        <w:spacing w:after="0" w:line="160" w:lineRule="exact"/>
        <w:rPr>
          <w:rFonts w:ascii="Arial" w:cs="Arial" w:eastAsia="Arial" w:hAnsi="Arial"/>
          <w:sz w:val="22"/>
          <w:szCs w:val="22"/>
          <w:color w:val="auto"/>
        </w:rPr>
      </w:pPr>
    </w:p>
    <w:p>
      <w:pPr>
        <w:ind w:left="-656" w:right="100" w:firstLine="1953"/>
        <w:spacing w:after="0" w:line="300" w:lineRule="auto"/>
        <w:tabs>
          <w:tab w:leader="none" w:pos="1672" w:val="left"/>
        </w:tabs>
        <w:numPr>
          <w:ilvl w:val="2"/>
          <w:numId w:val="64"/>
        </w:numPr>
        <w:rPr>
          <w:rFonts w:ascii="Arial" w:cs="Arial" w:eastAsia="Arial" w:hAnsi="Arial"/>
          <w:sz w:val="19"/>
          <w:szCs w:val="19"/>
          <w:color w:val="auto"/>
        </w:rPr>
      </w:pPr>
      <w:r>
        <w:rPr>
          <w:rFonts w:ascii="Arial" w:cs="Arial" w:eastAsia="Arial" w:hAnsi="Arial"/>
          <w:sz w:val="19"/>
          <w:szCs w:val="19"/>
          <w:u w:val="single" w:color="auto"/>
          <w:color w:val="auto"/>
        </w:rPr>
        <w:t>Options and Stock Appreciation Rights</w:t>
      </w:r>
      <w:r>
        <w:rPr>
          <w:rFonts w:ascii="Arial" w:cs="Arial" w:eastAsia="Arial" w:hAnsi="Arial"/>
          <w:sz w:val="19"/>
          <w:szCs w:val="19"/>
          <w:color w:val="auto"/>
        </w:rPr>
        <w:t>. Subject to adjustment as provided in Section 13, no Employee shall be granted within any fiscal year of the Company one or more Options or Stock Appreciation Rights, which in the aggregate cover more than 500,000 Shares reserved for issuance under the Plan; provided, however, that in connection with an Employee’s initial fiscal year of service as an Employee, an Employee may be granted Options or Stock Appreciation Rights, which in the aggregate cover up to an additional 1,000,000 Shares reserved for issuance under the Plan.</w:t>
      </w:r>
    </w:p>
    <w:p>
      <w:pPr>
        <w:spacing w:after="0" w:line="147" w:lineRule="exact"/>
        <w:rPr>
          <w:rFonts w:ascii="Arial" w:cs="Arial" w:eastAsia="Arial" w:hAnsi="Arial"/>
          <w:sz w:val="19"/>
          <w:szCs w:val="19"/>
          <w:color w:val="auto"/>
        </w:rPr>
      </w:pPr>
    </w:p>
    <w:p>
      <w:pPr>
        <w:ind w:left="-656" w:right="380" w:firstLine="1953"/>
        <w:spacing w:after="0" w:line="320" w:lineRule="auto"/>
        <w:tabs>
          <w:tab w:leader="none" w:pos="1733" w:val="left"/>
        </w:tabs>
        <w:numPr>
          <w:ilvl w:val="2"/>
          <w:numId w:val="64"/>
        </w:numPr>
        <w:rPr>
          <w:rFonts w:ascii="Arial" w:cs="Arial" w:eastAsia="Arial" w:hAnsi="Arial"/>
          <w:sz w:val="19"/>
          <w:szCs w:val="19"/>
          <w:color w:val="auto"/>
        </w:rPr>
      </w:pPr>
      <w:r>
        <w:rPr>
          <w:rFonts w:ascii="Arial" w:cs="Arial" w:eastAsia="Arial" w:hAnsi="Arial"/>
          <w:sz w:val="19"/>
          <w:szCs w:val="19"/>
          <w:u w:val="single" w:color="auto"/>
          <w:color w:val="auto"/>
        </w:rPr>
        <w:t>Restricted Stock and Restricted Stock Units</w:t>
      </w:r>
      <w:r>
        <w:rPr>
          <w:rFonts w:ascii="Arial" w:cs="Arial" w:eastAsia="Arial" w:hAnsi="Arial"/>
          <w:sz w:val="19"/>
          <w:szCs w:val="19"/>
          <w:color w:val="auto"/>
        </w:rPr>
        <w:t>. Subject to adjustment as provided in Section 13, no Employee shall be granted within any fiscal year of the Company one or more awards of Restricted Stock or Restricted Stock Units, which in the aggregate cover more than 500,000 Shares reserved for issuance under the Plan; provided, however, that in</w:t>
      </w:r>
    </w:p>
    <w:p>
      <w:pPr>
        <w:spacing w:after="0" w:line="368" w:lineRule="exact"/>
        <w:rPr>
          <w:rFonts w:ascii="Arial" w:cs="Arial" w:eastAsia="Arial" w:hAnsi="Arial"/>
          <w:sz w:val="19"/>
          <w:szCs w:val="19"/>
          <w:color w:val="auto"/>
        </w:rPr>
      </w:pPr>
    </w:p>
    <w:p>
      <w:pPr>
        <w:ind w:left="5004" w:hanging="126"/>
        <w:spacing w:after="0"/>
        <w:tabs>
          <w:tab w:leader="none" w:pos="5004" w:val="left"/>
        </w:tabs>
        <w:numPr>
          <w:ilvl w:val="3"/>
          <w:numId w:val="64"/>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0684"/>
          </w:cols>
          <w:pgMar w:left="896" w:top="847" w:right="319" w:bottom="1440" w:gutter="0" w:footer="0" w:header="0"/>
        </w:sectPr>
      </w:pPr>
    </w:p>
    <w:bookmarkStart w:id="71" w:name="page72"/>
    <w:bookmarkEnd w:id="71"/>
    <w:p>
      <w:pPr>
        <w:ind w:right="420"/>
        <w:spacing w:after="0" w:line="343" w:lineRule="auto"/>
        <w:rPr>
          <w:sz w:val="20"/>
          <w:szCs w:val="20"/>
          <w:color w:val="auto"/>
        </w:rPr>
      </w:pPr>
      <w:r>
        <w:rPr>
          <w:rFonts w:ascii="Arial" w:cs="Arial" w:eastAsia="Arial" w:hAnsi="Arial"/>
          <w:sz w:val="19"/>
          <w:szCs w:val="19"/>
          <w:color w:val="auto"/>
        </w:rPr>
        <w:t>connection with an Employee’s initial fiscal year of service as an Employee, an Employee may be granted Restricted Stock or Restricted Stock Units, which in the aggregate cover up to an additional 1,000,000 Shares reserved for issuance under the Plan.</w:t>
      </w:r>
    </w:p>
    <w:p>
      <w:pPr>
        <w:spacing w:after="0" w:line="105" w:lineRule="exact"/>
        <w:rPr>
          <w:sz w:val="20"/>
          <w:szCs w:val="20"/>
          <w:color w:val="auto"/>
        </w:rPr>
      </w:pPr>
    </w:p>
    <w:p>
      <w:pPr>
        <w:ind w:right="40" w:firstLine="1953"/>
        <w:spacing w:after="0" w:line="248" w:lineRule="auto"/>
        <w:tabs>
          <w:tab w:leader="none" w:pos="2449" w:val="left"/>
        </w:tabs>
        <w:numPr>
          <w:ilvl w:val="3"/>
          <w:numId w:val="65"/>
        </w:numPr>
        <w:rPr>
          <w:rFonts w:ascii="Arial" w:cs="Arial" w:eastAsia="Arial" w:hAnsi="Arial"/>
          <w:sz w:val="22"/>
          <w:szCs w:val="22"/>
          <w:color w:val="auto"/>
        </w:rPr>
      </w:pPr>
      <w:r>
        <w:rPr>
          <w:rFonts w:ascii="Arial" w:cs="Arial" w:eastAsia="Arial" w:hAnsi="Arial"/>
          <w:sz w:val="22"/>
          <w:szCs w:val="22"/>
          <w:u w:val="single" w:color="auto"/>
          <w:color w:val="auto"/>
        </w:rPr>
        <w:t>Performance Units and Performance Shares</w:t>
      </w:r>
      <w:r>
        <w:rPr>
          <w:rFonts w:ascii="Arial" w:cs="Arial" w:eastAsia="Arial" w:hAnsi="Arial"/>
          <w:sz w:val="22"/>
          <w:szCs w:val="22"/>
          <w:color w:val="auto"/>
        </w:rPr>
        <w:t>. Subject to adjustment as provided in Section 13, no Employee shall be granted within any fiscal year of the Company one or more awards of Performance Units or Performance Shares having a grant date value (assuming maximum payout) greater than two million dollars ($2 million) or covering more than 500,000 Shares, whichever is greater; provided, however, that in connection with an Employee’s initial fiscal year of service as an Employee, an Employee may be granted Performance Units or Performance Shares having a grant date value (assuming maximum payout) of up to an additional amount equal five million dollars ($5 million) or covering up to 1,000,000 Shares, whichever is greater. No Participant may be granted more than one award of Performance Units or Performance Shares for the same Performance Period.</w:t>
      </w:r>
    </w:p>
    <w:p>
      <w:pPr>
        <w:spacing w:after="0" w:line="191" w:lineRule="exact"/>
        <w:rPr>
          <w:rFonts w:ascii="Arial" w:cs="Arial" w:eastAsia="Arial" w:hAnsi="Arial"/>
          <w:sz w:val="22"/>
          <w:szCs w:val="22"/>
          <w:color w:val="auto"/>
        </w:rPr>
      </w:pPr>
    </w:p>
    <w:p>
      <w:pPr>
        <w:ind w:right="120" w:firstLine="1305"/>
        <w:spacing w:after="0" w:line="294" w:lineRule="auto"/>
        <w:tabs>
          <w:tab w:leader="none" w:pos="1716" w:val="left"/>
        </w:tabs>
        <w:numPr>
          <w:ilvl w:val="2"/>
          <w:numId w:val="66"/>
        </w:numPr>
        <w:rPr>
          <w:rFonts w:ascii="Arial" w:cs="Arial" w:eastAsia="Arial" w:hAnsi="Arial"/>
          <w:sz w:val="19"/>
          <w:szCs w:val="19"/>
          <w:color w:val="auto"/>
        </w:rPr>
      </w:pPr>
      <w:r>
        <w:rPr>
          <w:rFonts w:ascii="Arial" w:cs="Arial" w:eastAsia="Arial" w:hAnsi="Arial"/>
          <w:sz w:val="19"/>
          <w:szCs w:val="19"/>
          <w:u w:val="single" w:color="auto"/>
          <w:color w:val="auto"/>
        </w:rPr>
        <w:t>Limit on Awards to Outside Directors</w:t>
      </w:r>
      <w:r>
        <w:rPr>
          <w:rFonts w:ascii="Arial" w:cs="Arial" w:eastAsia="Arial" w:hAnsi="Arial"/>
          <w:sz w:val="19"/>
          <w:szCs w:val="19"/>
          <w:color w:val="auto"/>
        </w:rPr>
        <w:t>. The aggregate value of all compensation granted or paid, as applicable, to any individual for service as an Outside Director with respect to any fiscal year, including Awards granted and cash fees paid by the Company to such Outside Director, will not exceed seven hundred and fifty thousand dollars ($750,000) in total value, calculating the value of any Awards based on the grant date fair value of such Awards for financial reporting purposes. The Board may make an exception to the applicable limit in this Section 5(c) for any Outside Director in extraordinary circumstances, as the Board may determine in its discretion, provided that any Outside Director who is granted or paid such additional compensation may not participate in the decision to grant or pay such additional compensation.</w:t>
      </w:r>
    </w:p>
    <w:p>
      <w:pPr>
        <w:spacing w:after="0" w:line="152" w:lineRule="exact"/>
        <w:rPr>
          <w:rFonts w:ascii="Arial" w:cs="Arial" w:eastAsia="Arial" w:hAnsi="Arial"/>
          <w:sz w:val="19"/>
          <w:szCs w:val="19"/>
          <w:color w:val="auto"/>
        </w:rPr>
      </w:pPr>
    </w:p>
    <w:p>
      <w:pPr>
        <w:ind w:left="1000" w:hanging="344"/>
        <w:spacing w:after="0"/>
        <w:tabs>
          <w:tab w:leader="none" w:pos="1000"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85" w:lineRule="auto"/>
        <w:tabs>
          <w:tab w:leader="none" w:pos="1716" w:val="left"/>
        </w:tabs>
        <w:numPr>
          <w:ilvl w:val="2"/>
          <w:numId w:val="67"/>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With respect to the Committee’s authority in Section 4(b)(viii), if, at the time of any such extension, the exercise price per Share of the Option is less than the Fair Market Value of a Share, the extension shall, unless otherwise determined by the Committee, be limited to the earlier of (1) the maximum term of the Option as set by its original terms, or (2) ten</w:t>
      </w:r>
    </w:p>
    <w:p>
      <w:pPr>
        <w:spacing w:after="0" w:line="5" w:lineRule="exact"/>
        <w:rPr>
          <w:rFonts w:ascii="Arial" w:cs="Arial" w:eastAsia="Arial" w:hAnsi="Arial"/>
          <w:sz w:val="19"/>
          <w:szCs w:val="19"/>
          <w:color w:val="auto"/>
        </w:rPr>
      </w:pPr>
    </w:p>
    <w:p>
      <w:pPr>
        <w:ind w:right="140" w:firstLine="8"/>
        <w:spacing w:after="0" w:line="323" w:lineRule="auto"/>
        <w:tabs>
          <w:tab w:leader="none" w:pos="414" w:val="left"/>
        </w:tabs>
        <w:numPr>
          <w:ilvl w:val="0"/>
          <w:numId w:val="68"/>
        </w:numPr>
        <w:rPr>
          <w:rFonts w:ascii="Arial" w:cs="Arial" w:eastAsia="Arial" w:hAnsi="Arial"/>
          <w:sz w:val="19"/>
          <w:szCs w:val="19"/>
          <w:color w:val="auto"/>
        </w:rPr>
      </w:pPr>
      <w:r>
        <w:rPr>
          <w:rFonts w:ascii="Arial" w:cs="Arial" w:eastAsia="Arial" w:hAnsi="Arial"/>
          <w:sz w:val="19"/>
          <w:szCs w:val="19"/>
          <w:color w:val="auto"/>
        </w:rPr>
        <w:t>years from the grant date. Unless otherwise determined by the Committee, any extension of the term of an Option pursuant to this Section 4(b)(viii) shall comply with Code Section 409A to the extent necessary to avoid taxation thereunder.</w:t>
      </w:r>
    </w:p>
    <w:p>
      <w:pPr>
        <w:spacing w:after="0" w:line="123" w:lineRule="exact"/>
        <w:rPr>
          <w:rFonts w:ascii="Arial" w:cs="Arial" w:eastAsia="Arial" w:hAnsi="Arial"/>
          <w:sz w:val="19"/>
          <w:szCs w:val="19"/>
          <w:color w:val="auto"/>
        </w:rPr>
      </w:pPr>
    </w:p>
    <w:p>
      <w:pPr>
        <w:ind w:right="340" w:firstLine="1305"/>
        <w:spacing w:after="0" w:line="276" w:lineRule="auto"/>
        <w:tabs>
          <w:tab w:leader="none" w:pos="1728" w:val="left"/>
        </w:tabs>
        <w:numPr>
          <w:ilvl w:val="2"/>
          <w:numId w:val="68"/>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The term of each Option will be stated in the Award Agreement. In the case of an Incentive Stock Option, the term will be ten (10) years from the</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5600" w:hanging="120"/>
        <w:spacing w:after="0"/>
        <w:tabs>
          <w:tab w:leader="none" w:pos="5600" w:val="left"/>
        </w:tabs>
        <w:numPr>
          <w:ilvl w:val="4"/>
          <w:numId w:val="68"/>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420"/>
          </w:cols>
          <w:pgMar w:left="240" w:top="847" w:right="239" w:bottom="1440" w:gutter="0" w:footer="0" w:header="0"/>
        </w:sectPr>
      </w:pPr>
    </w:p>
    <w:bookmarkStart w:id="72" w:name="page73"/>
    <w:bookmarkEnd w:id="72"/>
    <w:p>
      <w:pPr>
        <w:ind w:right="100"/>
        <w:spacing w:after="0" w:line="248" w:lineRule="auto"/>
        <w:rPr>
          <w:sz w:val="20"/>
          <w:szCs w:val="20"/>
          <w:color w:val="auto"/>
        </w:rPr>
      </w:pPr>
      <w:r>
        <w:rPr>
          <w:rFonts w:ascii="Arial" w:cs="Arial" w:eastAsia="Arial" w:hAnsi="Arial"/>
          <w:sz w:val="22"/>
          <w:szCs w:val="22"/>
          <w:color w:val="auto"/>
        </w:rPr>
        <w:t>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92" w:lineRule="exact"/>
        <w:rPr>
          <w:sz w:val="20"/>
          <w:szCs w:val="20"/>
          <w:color w:val="auto"/>
        </w:rPr>
      </w:pPr>
    </w:p>
    <w:p>
      <w:pPr>
        <w:ind w:left="1720" w:hanging="415"/>
        <w:spacing w:after="0"/>
        <w:tabs>
          <w:tab w:leader="none" w:pos="172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Option Exercise Price and Consideration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1953"/>
        <w:spacing w:after="0" w:line="276" w:lineRule="auto"/>
        <w:tabs>
          <w:tab w:leader="none" w:pos="2329"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per share exercise price for the Shares to be issued pursuant to exercise of an Option will be determined by the Administrator, subject to the following:</w:t>
      </w:r>
    </w:p>
    <w:p>
      <w:pPr>
        <w:spacing w:after="0" w:line="160" w:lineRule="exact"/>
        <w:rPr>
          <w:rFonts w:ascii="Arial" w:cs="Arial" w:eastAsia="Arial" w:hAnsi="Arial"/>
          <w:sz w:val="22"/>
          <w:szCs w:val="22"/>
          <w:color w:val="auto"/>
        </w:rPr>
      </w:pPr>
    </w:p>
    <w:p>
      <w:pPr>
        <w:ind w:left="3040" w:hanging="439"/>
        <w:spacing w:after="0"/>
        <w:tabs>
          <w:tab w:leader="none" w:pos="3040" w:val="left"/>
        </w:tabs>
        <w:numPr>
          <w:ilvl w:val="2"/>
          <w:numId w:val="69"/>
        </w:numPr>
        <w:rPr>
          <w:rFonts w:ascii="Arial" w:cs="Arial" w:eastAsia="Arial" w:hAnsi="Arial"/>
          <w:sz w:val="22"/>
          <w:szCs w:val="22"/>
          <w:color w:val="auto"/>
        </w:rPr>
      </w:pPr>
      <w:r>
        <w:rPr>
          <w:rFonts w:ascii="Arial" w:cs="Arial" w:eastAsia="Arial" w:hAnsi="Arial"/>
          <w:sz w:val="22"/>
          <w:szCs w:val="22"/>
          <w:u w:val="single" w:color="auto"/>
          <w:color w:val="auto"/>
        </w:rPr>
        <w:t>In the case of an Incentive Stock Option</w:t>
      </w:r>
    </w:p>
    <w:p>
      <w:pPr>
        <w:spacing w:after="0" w:line="233" w:lineRule="exact"/>
        <w:rPr>
          <w:rFonts w:ascii="Arial" w:cs="Arial" w:eastAsia="Arial" w:hAnsi="Arial"/>
          <w:sz w:val="22"/>
          <w:szCs w:val="22"/>
          <w:color w:val="auto"/>
        </w:rPr>
      </w:pPr>
    </w:p>
    <w:p>
      <w:pPr>
        <w:ind w:right="120" w:firstLine="3249"/>
        <w:spacing w:after="0" w:line="254" w:lineRule="auto"/>
        <w:tabs>
          <w:tab w:leader="none" w:pos="3721" w:val="left"/>
        </w:tabs>
        <w:numPr>
          <w:ilvl w:val="3"/>
          <w:numId w:val="69"/>
        </w:numPr>
        <w:rPr>
          <w:rFonts w:ascii="Arial" w:cs="Arial" w:eastAsia="Arial" w:hAnsi="Arial"/>
          <w:sz w:val="22"/>
          <w:szCs w:val="22"/>
          <w:color w:val="auto"/>
        </w:rPr>
      </w:pPr>
      <w:r>
        <w:rPr>
          <w:rFonts w:ascii="Arial" w:cs="Arial" w:eastAsia="Arial" w:hAnsi="Arial"/>
          <w:sz w:val="22"/>
          <w:szCs w:val="22"/>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85" w:lineRule="exact"/>
        <w:rPr>
          <w:rFonts w:ascii="Arial" w:cs="Arial" w:eastAsia="Arial" w:hAnsi="Arial"/>
          <w:sz w:val="22"/>
          <w:szCs w:val="22"/>
          <w:color w:val="auto"/>
        </w:rPr>
      </w:pPr>
    </w:p>
    <w:p>
      <w:pPr>
        <w:ind w:right="520" w:firstLine="3249"/>
        <w:spacing w:after="0" w:line="260" w:lineRule="auto"/>
        <w:tabs>
          <w:tab w:leader="none" w:pos="3709" w:val="left"/>
        </w:tabs>
        <w:numPr>
          <w:ilvl w:val="3"/>
          <w:numId w:val="69"/>
        </w:numPr>
        <w:rPr>
          <w:rFonts w:ascii="Arial" w:cs="Arial" w:eastAsia="Arial" w:hAnsi="Arial"/>
          <w:sz w:val="22"/>
          <w:szCs w:val="22"/>
          <w:color w:val="auto"/>
        </w:rPr>
      </w:pPr>
      <w:r>
        <w:rPr>
          <w:rFonts w:ascii="Arial" w:cs="Arial" w:eastAsia="Arial" w:hAnsi="Arial"/>
          <w:sz w:val="22"/>
          <w:szCs w:val="22"/>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77" w:lineRule="exact"/>
        <w:rPr>
          <w:rFonts w:ascii="Arial" w:cs="Arial" w:eastAsia="Arial" w:hAnsi="Arial"/>
          <w:sz w:val="22"/>
          <w:szCs w:val="22"/>
          <w:color w:val="auto"/>
        </w:rPr>
      </w:pPr>
    </w:p>
    <w:p>
      <w:pPr>
        <w:ind w:right="120" w:firstLine="2601"/>
        <w:spacing w:after="0" w:line="276" w:lineRule="auto"/>
        <w:tabs>
          <w:tab w:leader="none" w:pos="3025" w:val="left"/>
        </w:tabs>
        <w:numPr>
          <w:ilvl w:val="2"/>
          <w:numId w:val="69"/>
        </w:numPr>
        <w:rPr>
          <w:rFonts w:ascii="Arial" w:cs="Arial" w:eastAsia="Arial" w:hAnsi="Arial"/>
          <w:sz w:val="22"/>
          <w:szCs w:val="22"/>
          <w:color w:val="auto"/>
        </w:rPr>
      </w:pPr>
      <w:r>
        <w:rPr>
          <w:rFonts w:ascii="Arial" w:cs="Arial" w:eastAsia="Arial" w:hAnsi="Arial"/>
          <w:sz w:val="22"/>
          <w:szCs w:val="22"/>
          <w:color w:val="auto"/>
        </w:rPr>
        <w:t>In the case of a Nonstatutory Stock Option, the per Share exercise price will be no less than one hundred percent (100%) of the Fair Market Value per Share on the date of grant.</w:t>
      </w:r>
    </w:p>
    <w:p>
      <w:pPr>
        <w:spacing w:after="0" w:line="160" w:lineRule="exact"/>
        <w:rPr>
          <w:rFonts w:ascii="Arial" w:cs="Arial" w:eastAsia="Arial" w:hAnsi="Arial"/>
          <w:sz w:val="22"/>
          <w:szCs w:val="22"/>
          <w:color w:val="auto"/>
        </w:rPr>
      </w:pPr>
    </w:p>
    <w:p>
      <w:pPr>
        <w:ind w:right="40" w:firstLine="2601"/>
        <w:spacing w:after="0" w:line="260" w:lineRule="auto"/>
        <w:tabs>
          <w:tab w:leader="none" w:pos="3025" w:val="left"/>
        </w:tabs>
        <w:numPr>
          <w:ilvl w:val="2"/>
          <w:numId w:val="69"/>
        </w:numPr>
        <w:rPr>
          <w:rFonts w:ascii="Arial" w:cs="Arial" w:eastAsia="Arial" w:hAnsi="Arial"/>
          <w:sz w:val="22"/>
          <w:szCs w:val="22"/>
          <w:color w:val="auto"/>
        </w:rPr>
      </w:pPr>
      <w:r>
        <w:rPr>
          <w:rFonts w:ascii="Arial" w:cs="Arial" w:eastAsia="Arial" w:hAnsi="Arial"/>
          <w:sz w:val="22"/>
          <w:szCs w:val="22"/>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7" w:lineRule="exact"/>
        <w:rPr>
          <w:rFonts w:ascii="Arial" w:cs="Arial" w:eastAsia="Arial" w:hAnsi="Arial"/>
          <w:sz w:val="22"/>
          <w:szCs w:val="22"/>
          <w:color w:val="auto"/>
        </w:rPr>
      </w:pPr>
    </w:p>
    <w:p>
      <w:pPr>
        <w:ind w:firstLine="1953"/>
        <w:spacing w:after="0" w:line="260" w:lineRule="auto"/>
        <w:tabs>
          <w:tab w:leader="none" w:pos="2389"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Waiting Period and Exercise Dates</w:t>
      </w:r>
      <w:r>
        <w:rPr>
          <w:rFonts w:ascii="Arial" w:cs="Arial" w:eastAsia="Arial" w:hAnsi="Arial"/>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77" w:lineRule="exact"/>
        <w:rPr>
          <w:rFonts w:ascii="Arial" w:cs="Arial" w:eastAsia="Arial" w:hAnsi="Arial"/>
          <w:sz w:val="22"/>
          <w:szCs w:val="22"/>
          <w:color w:val="auto"/>
        </w:rPr>
      </w:pPr>
    </w:p>
    <w:p>
      <w:pPr>
        <w:ind w:right="100" w:firstLine="1953"/>
        <w:spacing w:after="0" w:line="297" w:lineRule="auto"/>
        <w:tabs>
          <w:tab w:leader="none" w:pos="2449"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 (4) other Shares, provided that (A) such Shares have a Fair Market Value on the date of surrender equal to the aggregate exercise price of the Shares as to which such Option will be exercised, (B) such Shares are not subject to any repurchase, forfeiture, unfulfilled vesting or other similar</w:t>
      </w:r>
    </w:p>
    <w:p>
      <w:pPr>
        <w:spacing w:after="0" w:line="390" w:lineRule="exact"/>
        <w:rPr>
          <w:rFonts w:ascii="Arial" w:cs="Arial" w:eastAsia="Arial" w:hAnsi="Arial"/>
          <w:sz w:val="19"/>
          <w:szCs w:val="19"/>
          <w:color w:val="auto"/>
        </w:rPr>
      </w:pPr>
    </w:p>
    <w:p>
      <w:pPr>
        <w:ind w:left="5620" w:hanging="136"/>
        <w:spacing w:after="0"/>
        <w:tabs>
          <w:tab w:leader="none" w:pos="5620" w:val="left"/>
        </w:tabs>
        <w:numPr>
          <w:ilvl w:val="4"/>
          <w:numId w:val="69"/>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1420"/>
          </w:cols>
          <w:pgMar w:left="240" w:top="847" w:right="239" w:bottom="1440" w:gutter="0" w:footer="0" w:header="0"/>
        </w:sectPr>
      </w:pPr>
    </w:p>
    <w:bookmarkStart w:id="73" w:name="page74"/>
    <w:bookmarkEnd w:id="73"/>
    <w:p>
      <w:pPr>
        <w:ind w:right="140"/>
        <w:spacing w:after="0" w:line="297" w:lineRule="auto"/>
        <w:rPr>
          <w:sz w:val="20"/>
          <w:szCs w:val="20"/>
          <w:color w:val="auto"/>
        </w:rPr>
      </w:pPr>
      <w:r>
        <w:rPr>
          <w:rFonts w:ascii="Arial" w:cs="Arial" w:eastAsia="Arial" w:hAnsi="Arial"/>
          <w:sz w:val="19"/>
          <w:szCs w:val="19"/>
          <w:color w:val="auto"/>
        </w:rPr>
        <w:t>requirements, and (C)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for Nonstatutory Stock Options, by net exercise; (7) such other consideration and method of payment for the issuance of Shares to the extent permitted by Applicable Laws; or (8) any combination of the foregoing methods of payment.</w:t>
      </w:r>
    </w:p>
    <w:p>
      <w:pPr>
        <w:spacing w:after="0" w:line="147" w:lineRule="exact"/>
        <w:rPr>
          <w:sz w:val="20"/>
          <w:szCs w:val="20"/>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40" w:firstLine="1953"/>
        <w:spacing w:after="0" w:line="260" w:lineRule="auto"/>
        <w:tabs>
          <w:tab w:leader="none" w:pos="2329"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Procedure for Exercise; Rights as a Stockholder</w:t>
      </w:r>
      <w:r>
        <w:rPr>
          <w:rFonts w:ascii="Arial" w:cs="Arial" w:eastAsia="Arial" w:hAnsi="Arial"/>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7"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60" w:lineRule="exact"/>
        <w:rPr>
          <w:sz w:val="20"/>
          <w:szCs w:val="20"/>
          <w:color w:val="auto"/>
        </w:rPr>
      </w:pPr>
    </w:p>
    <w:p>
      <w:pPr>
        <w:ind w:firstLine="1953"/>
        <w:spacing w:after="0" w:line="260" w:lineRule="auto"/>
        <w:tabs>
          <w:tab w:leader="none" w:pos="2389"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Termination of Relationship as a Service Provider</w:t>
      </w:r>
      <w:r>
        <w:rPr>
          <w:rFonts w:ascii="Arial" w:cs="Arial" w:eastAsia="Arial" w:hAnsi="Arial"/>
          <w:sz w:val="21"/>
          <w:szCs w:val="21"/>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4" w:lineRule="exact"/>
        <w:rPr>
          <w:rFonts w:ascii="Arial" w:cs="Arial" w:eastAsia="Arial" w:hAnsi="Arial"/>
          <w:sz w:val="21"/>
          <w:szCs w:val="21"/>
          <w:color w:val="auto"/>
        </w:rPr>
      </w:pPr>
    </w:p>
    <w:p>
      <w:pPr>
        <w:jc w:val="both"/>
        <w:ind w:right="140" w:firstLine="1953"/>
        <w:spacing w:after="0" w:line="260" w:lineRule="auto"/>
        <w:tabs>
          <w:tab w:leader="none" w:pos="2449"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Disability of Participant</w:t>
      </w:r>
      <w:r>
        <w:rPr>
          <w:rFonts w:ascii="Arial" w:cs="Arial" w:eastAsia="Arial" w:hAnsi="Arial"/>
          <w:sz w:val="22"/>
          <w:szCs w:val="22"/>
          <w:color w:val="auto"/>
        </w:rPr>
        <w:t>. If a Participant ceases to be a Service Provider as a result of the Participant’s Disability, the Participant may exercise his or her Option within such period of time as is specified in the Award Agreement to the extent the Option is</w:t>
      </w: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5600" w:hanging="120"/>
        <w:spacing w:after="0"/>
        <w:tabs>
          <w:tab w:leader="none" w:pos="56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1400"/>
          </w:cols>
          <w:pgMar w:left="240" w:top="847" w:right="259" w:bottom="1440" w:gutter="0" w:footer="0" w:header="0"/>
        </w:sectPr>
      </w:pPr>
    </w:p>
    <w:bookmarkStart w:id="74" w:name="page75"/>
    <w:bookmarkEnd w:id="74"/>
    <w:p>
      <w:pPr>
        <w:ind w:right="60"/>
        <w:spacing w:after="0" w:line="261" w:lineRule="auto"/>
        <w:rPr>
          <w:sz w:val="20"/>
          <w:szCs w:val="20"/>
          <w:color w:val="auto"/>
        </w:rPr>
      </w:pPr>
      <w:r>
        <w:rPr>
          <w:rFonts w:ascii="Arial" w:cs="Arial" w:eastAsia="Arial" w:hAnsi="Arial"/>
          <w:sz w:val="21"/>
          <w:szCs w:val="21"/>
          <w:color w:val="auto"/>
        </w:rPr>
        <w:t>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0" w:lineRule="exact"/>
        <w:rPr>
          <w:sz w:val="20"/>
          <w:szCs w:val="20"/>
          <w:color w:val="auto"/>
        </w:rPr>
      </w:pPr>
    </w:p>
    <w:p>
      <w:pPr>
        <w:ind w:right="20" w:firstLine="1953"/>
        <w:spacing w:after="0" w:line="289" w:lineRule="auto"/>
        <w:tabs>
          <w:tab w:leader="none" w:pos="2437" w:val="left"/>
        </w:tabs>
        <w:numPr>
          <w:ilvl w:val="2"/>
          <w:numId w:val="72"/>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58" w:lineRule="exact"/>
        <w:rPr>
          <w:rFonts w:ascii="Arial" w:cs="Arial" w:eastAsia="Arial" w:hAnsi="Arial"/>
          <w:sz w:val="19"/>
          <w:szCs w:val="19"/>
          <w:color w:val="auto"/>
        </w:rPr>
      </w:pPr>
    </w:p>
    <w:p>
      <w:pPr>
        <w:ind w:left="1000" w:hanging="344"/>
        <w:spacing w:after="0"/>
        <w:tabs>
          <w:tab w:leader="none" w:pos="10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80" w:firstLine="1305"/>
        <w:spacing w:after="0" w:line="260" w:lineRule="auto"/>
        <w:tabs>
          <w:tab w:leader="none" w:pos="1716"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w:t>
      </w:r>
      <w:r>
        <w:rPr>
          <w:rFonts w:ascii="Arial" w:cs="Arial" w:eastAsia="Arial" w:hAnsi="Arial"/>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77" w:lineRule="exact"/>
        <w:rPr>
          <w:rFonts w:ascii="Arial" w:cs="Arial" w:eastAsia="Arial" w:hAnsi="Arial"/>
          <w:sz w:val="22"/>
          <w:szCs w:val="22"/>
          <w:color w:val="auto"/>
        </w:rPr>
      </w:pPr>
    </w:p>
    <w:p>
      <w:pPr>
        <w:ind w:firstLine="1305"/>
        <w:spacing w:after="0" w:line="254" w:lineRule="auto"/>
        <w:tabs>
          <w:tab w:leader="none" w:pos="1728"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Restricted Stock Agreement</w:t>
      </w:r>
      <w:r>
        <w:rPr>
          <w:rFonts w:ascii="Arial" w:cs="Arial" w:eastAsia="Arial" w:hAnsi="Arial"/>
          <w:sz w:val="22"/>
          <w:szCs w:val="22"/>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5" w:lineRule="exact"/>
        <w:rPr>
          <w:rFonts w:ascii="Arial" w:cs="Arial" w:eastAsia="Arial" w:hAnsi="Arial"/>
          <w:sz w:val="22"/>
          <w:szCs w:val="22"/>
          <w:color w:val="auto"/>
        </w:rPr>
      </w:pPr>
    </w:p>
    <w:p>
      <w:pPr>
        <w:ind w:right="200" w:firstLine="1305"/>
        <w:spacing w:after="0" w:line="260" w:lineRule="auto"/>
        <w:tabs>
          <w:tab w:leader="none" w:pos="1716"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77" w:lineRule="exact"/>
        <w:rPr>
          <w:rFonts w:ascii="Arial" w:cs="Arial" w:eastAsia="Arial" w:hAnsi="Arial"/>
          <w:sz w:val="22"/>
          <w:szCs w:val="22"/>
          <w:color w:val="auto"/>
        </w:rPr>
      </w:pPr>
    </w:p>
    <w:p>
      <w:pPr>
        <w:ind w:right="300" w:firstLine="1305"/>
        <w:spacing w:after="0" w:line="276" w:lineRule="auto"/>
        <w:tabs>
          <w:tab w:leader="none" w:pos="1728"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Other Restrictions</w:t>
      </w:r>
      <w:r>
        <w:rPr>
          <w:rFonts w:ascii="Arial" w:cs="Arial" w:eastAsia="Arial" w:hAnsi="Arial"/>
          <w:sz w:val="22"/>
          <w:szCs w:val="22"/>
          <w:color w:val="auto"/>
        </w:rPr>
        <w:t>. The Administrator, in its sole discretion, may impose such other restrictions on Shares of Restricted Stock as it may deem advisable or appropriate.</w:t>
      </w:r>
    </w:p>
    <w:p>
      <w:pPr>
        <w:spacing w:after="0" w:line="160" w:lineRule="exact"/>
        <w:rPr>
          <w:rFonts w:ascii="Arial" w:cs="Arial" w:eastAsia="Arial" w:hAnsi="Arial"/>
          <w:sz w:val="22"/>
          <w:szCs w:val="22"/>
          <w:color w:val="auto"/>
        </w:rPr>
      </w:pPr>
    </w:p>
    <w:p>
      <w:pPr>
        <w:ind w:right="80" w:firstLine="1305"/>
        <w:spacing w:after="0" w:line="276" w:lineRule="auto"/>
        <w:tabs>
          <w:tab w:leader="none" w:pos="1716"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Removal of Restrictions</w:t>
      </w:r>
      <w:r>
        <w:rPr>
          <w:rFonts w:ascii="Arial" w:cs="Arial" w:eastAsia="Arial" w:hAnsi="Arial"/>
          <w:sz w:val="22"/>
          <w:szCs w:val="22"/>
          <w:color w:val="auto"/>
        </w:rPr>
        <w:t>. Except as otherwise provided in this Section 7, Shares of Restricted Stock covered by each Restricted Stock grant made under the Plan will be</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5600" w:hanging="120"/>
        <w:spacing w:after="0"/>
        <w:tabs>
          <w:tab w:leader="none" w:pos="5600" w:val="left"/>
        </w:tabs>
        <w:numPr>
          <w:ilvl w:val="3"/>
          <w:numId w:val="73"/>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1420"/>
          </w:cols>
          <w:pgMar w:left="240" w:top="847" w:right="239" w:bottom="1440" w:gutter="0" w:footer="0" w:header="0"/>
        </w:sectPr>
      </w:pPr>
    </w:p>
    <w:bookmarkStart w:id="75" w:name="page76"/>
    <w:bookmarkEnd w:id="75"/>
    <w:p>
      <w:pPr>
        <w:ind w:right="80"/>
        <w:spacing w:after="0" w:line="343" w:lineRule="auto"/>
        <w:rPr>
          <w:sz w:val="20"/>
          <w:szCs w:val="20"/>
          <w:color w:val="auto"/>
        </w:rPr>
      </w:pPr>
      <w:r>
        <w:rPr>
          <w:rFonts w:ascii="Arial" w:cs="Arial" w:eastAsia="Arial" w:hAnsi="Arial"/>
          <w:sz w:val="19"/>
          <w:szCs w:val="19"/>
          <w:color w:val="auto"/>
        </w:rPr>
        <w:t>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05" w:lineRule="exact"/>
        <w:rPr>
          <w:sz w:val="20"/>
          <w:szCs w:val="20"/>
          <w:color w:val="auto"/>
        </w:rPr>
      </w:pPr>
    </w:p>
    <w:p>
      <w:pPr>
        <w:ind w:right="240" w:firstLine="1305"/>
        <w:spacing w:after="0" w:line="358" w:lineRule="auto"/>
        <w:tabs>
          <w:tab w:leader="none" w:pos="1692"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During the Period of Restriction, Service Providers holding Shares of Restricted Stock granted hereunder may exercise full voting rights with respect to those Shares, unless the Administrator determines otherwise.</w:t>
      </w:r>
    </w:p>
    <w:p>
      <w:pPr>
        <w:spacing w:after="0" w:line="90" w:lineRule="exact"/>
        <w:rPr>
          <w:rFonts w:ascii="Arial" w:cs="Arial" w:eastAsia="Arial" w:hAnsi="Arial"/>
          <w:sz w:val="19"/>
          <w:szCs w:val="19"/>
          <w:color w:val="auto"/>
        </w:rPr>
      </w:pPr>
    </w:p>
    <w:p>
      <w:pPr>
        <w:ind w:right="160" w:firstLine="1305"/>
        <w:spacing w:after="0" w:line="297" w:lineRule="auto"/>
        <w:tabs>
          <w:tab w:leader="none" w:pos="1728"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Dividends and Other Distributions</w:t>
      </w:r>
      <w:r>
        <w:rPr>
          <w:rFonts w:ascii="Arial" w:cs="Arial" w:eastAsia="Arial" w:hAnsi="Arial"/>
          <w:sz w:val="19"/>
          <w:szCs w:val="19"/>
          <w:color w:val="auto"/>
        </w:rPr>
        <w:t>. Unless otherwise provided in the applicable Award Agreement, Unvested Dividends with respect to a Service Provider’s Shares of Restricted Stock shall be paid to the Service Provider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146" w:lineRule="exact"/>
        <w:rPr>
          <w:rFonts w:ascii="Arial" w:cs="Arial" w:eastAsia="Arial" w:hAnsi="Arial"/>
          <w:sz w:val="19"/>
          <w:szCs w:val="19"/>
          <w:color w:val="auto"/>
        </w:rPr>
      </w:pPr>
    </w:p>
    <w:p>
      <w:pPr>
        <w:ind w:right="60" w:firstLine="1305"/>
        <w:spacing w:after="0" w:line="358" w:lineRule="auto"/>
        <w:tabs>
          <w:tab w:leader="none" w:pos="1728"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Return of Restricted Stock to Company</w:t>
      </w:r>
      <w:r>
        <w:rPr>
          <w:rFonts w:ascii="Arial" w:cs="Arial" w:eastAsia="Arial" w:hAnsi="Arial"/>
          <w:sz w:val="19"/>
          <w:szCs w:val="19"/>
          <w:color w:val="auto"/>
        </w:rPr>
        <w:t>. On the date set forth in the Award Agreement, the Restricted Stock for which restrictions have not lapsed will revert to the Company and again will become available for grant under the Plan.</w:t>
      </w:r>
    </w:p>
    <w:p>
      <w:pPr>
        <w:spacing w:after="0" w:line="90" w:lineRule="exact"/>
        <w:rPr>
          <w:rFonts w:ascii="Arial" w:cs="Arial" w:eastAsia="Arial" w:hAnsi="Arial"/>
          <w:sz w:val="19"/>
          <w:szCs w:val="19"/>
          <w:color w:val="auto"/>
        </w:rPr>
      </w:pPr>
    </w:p>
    <w:p>
      <w:pPr>
        <w:ind w:left="1000" w:hanging="344"/>
        <w:spacing w:after="0"/>
        <w:tabs>
          <w:tab w:leader="none" w:pos="10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100" w:firstLine="1305"/>
        <w:spacing w:after="0" w:line="254" w:lineRule="auto"/>
        <w:tabs>
          <w:tab w:leader="none" w:pos="1716"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Subject to the terms and conditions of the Plan,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w:t>
      </w:r>
    </w:p>
    <w:p>
      <w:pPr>
        <w:spacing w:after="0" w:line="185" w:lineRule="exact"/>
        <w:rPr>
          <w:rFonts w:ascii="Arial" w:cs="Arial" w:eastAsia="Arial" w:hAnsi="Arial"/>
          <w:sz w:val="22"/>
          <w:szCs w:val="22"/>
          <w:color w:val="auto"/>
        </w:rPr>
      </w:pPr>
    </w:p>
    <w:p>
      <w:pPr>
        <w:ind w:right="40" w:firstLine="1305"/>
        <w:spacing w:after="0" w:line="251" w:lineRule="auto"/>
        <w:tabs>
          <w:tab w:leader="none" w:pos="1728"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Vesting Criteria and Other Terms</w:t>
      </w:r>
      <w:r>
        <w:rPr>
          <w:rFonts w:ascii="Arial" w:cs="Arial" w:eastAsia="Arial" w:hAnsi="Arial"/>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(including the passage of time) determined by the Administrator in its discretion.</w:t>
      </w:r>
    </w:p>
    <w:p>
      <w:pPr>
        <w:spacing w:after="0" w:line="189" w:lineRule="exact"/>
        <w:rPr>
          <w:rFonts w:ascii="Arial" w:cs="Arial" w:eastAsia="Arial" w:hAnsi="Arial"/>
          <w:sz w:val="22"/>
          <w:szCs w:val="22"/>
          <w:color w:val="auto"/>
        </w:rPr>
      </w:pPr>
    </w:p>
    <w:p>
      <w:pPr>
        <w:jc w:val="both"/>
        <w:ind w:right="80" w:firstLine="1305"/>
        <w:spacing w:after="0" w:line="320" w:lineRule="auto"/>
        <w:tabs>
          <w:tab w:leader="none" w:pos="1716"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Earning Restricted Stock Units</w:t>
      </w:r>
      <w:r>
        <w:rPr>
          <w:rFonts w:ascii="Arial" w:cs="Arial" w:eastAsia="Arial" w:hAnsi="Arial"/>
          <w:sz w:val="19"/>
          <w:szCs w:val="19"/>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25" w:lineRule="exact"/>
        <w:rPr>
          <w:rFonts w:ascii="Arial" w:cs="Arial" w:eastAsia="Arial" w:hAnsi="Arial"/>
          <w:sz w:val="19"/>
          <w:szCs w:val="19"/>
          <w:color w:val="auto"/>
        </w:rPr>
      </w:pPr>
    </w:p>
    <w:p>
      <w:pPr>
        <w:ind w:firstLine="1305"/>
        <w:spacing w:after="0" w:line="260" w:lineRule="auto"/>
        <w:tabs>
          <w:tab w:leader="none" w:pos="1728"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The Award Agreement for Restricted Stock Units may provide a Participant with the right to receive an amount equal to any dividends or other distributions declared and paid on an equal number of outstanding Shares (“</w:t>
      </w:r>
      <w:r>
        <w:rPr>
          <w:rFonts w:ascii="Arial" w:cs="Arial" w:eastAsia="Arial" w:hAnsi="Arial"/>
          <w:sz w:val="22"/>
          <w:szCs w:val="22"/>
          <w:u w:val="single" w:color="auto"/>
          <w:color w:val="auto"/>
        </w:rPr>
        <w:t>Dividend</w:t>
      </w: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5600" w:hanging="120"/>
        <w:spacing w:after="0"/>
        <w:tabs>
          <w:tab w:leader="none" w:pos="5600" w:val="left"/>
        </w:tabs>
        <w:numPr>
          <w:ilvl w:val="2"/>
          <w:numId w:val="75"/>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1420"/>
          </w:cols>
          <w:pgMar w:left="240" w:top="847" w:right="239" w:bottom="1440" w:gutter="0" w:footer="0" w:header="0"/>
        </w:sectPr>
      </w:pPr>
    </w:p>
    <w:bookmarkStart w:id="76" w:name="page77"/>
    <w:bookmarkEnd w:id="76"/>
    <w:p>
      <w:pPr>
        <w:ind w:right="220"/>
        <w:spacing w:after="0" w:line="253" w:lineRule="auto"/>
        <w:rPr>
          <w:sz w:val="20"/>
          <w:szCs w:val="20"/>
          <w:color w:val="auto"/>
        </w:rPr>
      </w:pPr>
      <w:r>
        <w:rPr>
          <w:rFonts w:ascii="Arial" w:cs="Arial" w:eastAsia="Arial" w:hAnsi="Arial"/>
          <w:sz w:val="22"/>
          <w:szCs w:val="22"/>
          <w:u w:val="single" w:color="auto"/>
          <w:color w:val="auto"/>
        </w:rPr>
        <w:t>Equivalents</w:t>
      </w:r>
      <w:r>
        <w:rPr>
          <w:rFonts w:ascii="Arial" w:cs="Arial" w:eastAsia="Arial" w:hAnsi="Arial"/>
          <w:sz w:val="22"/>
          <w:szCs w:val="22"/>
          <w:color w:val="auto"/>
        </w:rPr>
        <w:t>”). Dividend Equivalents may be settled in cash and/or Shares and shall be subject to the same restrictions on transfer and forfeitability as the Restricted Stock Units with respect to which paid, in each case to the extent provided in the Award Agreement. No interest will be paid on Dividend Equivalents.</w:t>
      </w:r>
    </w:p>
    <w:p>
      <w:pPr>
        <w:spacing w:after="0" w:line="186" w:lineRule="exact"/>
        <w:rPr>
          <w:sz w:val="20"/>
          <w:szCs w:val="20"/>
          <w:color w:val="auto"/>
        </w:rPr>
      </w:pPr>
    </w:p>
    <w:p>
      <w:pPr>
        <w:ind w:right="280" w:firstLine="1305"/>
        <w:spacing w:after="0" w:line="260" w:lineRule="auto"/>
        <w:tabs>
          <w:tab w:leader="none" w:pos="1716"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spacing w:after="0" w:line="177" w:lineRule="exact"/>
        <w:rPr>
          <w:rFonts w:ascii="Arial" w:cs="Arial" w:eastAsia="Arial" w:hAnsi="Arial"/>
          <w:sz w:val="22"/>
          <w:szCs w:val="22"/>
          <w:color w:val="auto"/>
        </w:rPr>
      </w:pPr>
    </w:p>
    <w:p>
      <w:pPr>
        <w:ind w:right="740" w:firstLine="1305"/>
        <w:spacing w:after="0" w:line="276" w:lineRule="auto"/>
        <w:tabs>
          <w:tab w:leader="none" w:pos="1692"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Cancellation</w:t>
      </w:r>
      <w:r>
        <w:rPr>
          <w:rFonts w:ascii="Arial" w:cs="Arial" w:eastAsia="Arial" w:hAnsi="Arial"/>
          <w:sz w:val="22"/>
          <w:szCs w:val="22"/>
          <w:color w:val="auto"/>
        </w:rPr>
        <w:t>. On the date set forth in the Award Agreement, all unearned Restricted Stock Units will be forfeited to the Company.</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60" w:lineRule="auto"/>
        <w:tabs>
          <w:tab w:leader="none" w:pos="1716"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Grant of Stock Appreciation Rights</w:t>
      </w:r>
      <w:r>
        <w:rPr>
          <w:rFonts w:ascii="Arial" w:cs="Arial" w:eastAsia="Arial" w:hAnsi="Arial"/>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77" w:lineRule="exact"/>
        <w:rPr>
          <w:rFonts w:ascii="Arial" w:cs="Arial" w:eastAsia="Arial" w:hAnsi="Arial"/>
          <w:sz w:val="22"/>
          <w:szCs w:val="22"/>
          <w:color w:val="auto"/>
        </w:rPr>
      </w:pPr>
    </w:p>
    <w:p>
      <w:pPr>
        <w:ind w:right="620" w:firstLine="1305"/>
        <w:spacing w:after="0" w:line="301" w:lineRule="auto"/>
        <w:tabs>
          <w:tab w:leader="none" w:pos="1728"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Number of Shares</w:t>
      </w:r>
      <w:r>
        <w:rPr>
          <w:rFonts w:ascii="Arial" w:cs="Arial" w:eastAsia="Arial" w:hAnsi="Arial"/>
          <w:sz w:val="21"/>
          <w:szCs w:val="21"/>
          <w:color w:val="auto"/>
        </w:rPr>
        <w:t>. Subject to the terms and conditions of the Plan, the Administrator will have complete discretion to determine the number of Stock Appreciation Rights granted to any Service Provider.</w:t>
      </w:r>
    </w:p>
    <w:p>
      <w:pPr>
        <w:spacing w:after="0" w:line="137" w:lineRule="exact"/>
        <w:rPr>
          <w:rFonts w:ascii="Arial" w:cs="Arial" w:eastAsia="Arial" w:hAnsi="Arial"/>
          <w:sz w:val="21"/>
          <w:szCs w:val="21"/>
          <w:color w:val="auto"/>
        </w:rPr>
      </w:pPr>
    </w:p>
    <w:p>
      <w:pPr>
        <w:ind w:right="60" w:firstLine="1305"/>
        <w:spacing w:after="0" w:line="307" w:lineRule="auto"/>
        <w:tabs>
          <w:tab w:leader="none" w:pos="1716"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Exercise Price and Other Terms</w:t>
      </w:r>
      <w:r>
        <w:rPr>
          <w:rFonts w:ascii="Arial" w:cs="Arial" w:eastAsia="Arial" w:hAnsi="Arial"/>
          <w:sz w:val="19"/>
          <w:szCs w:val="19"/>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38" w:lineRule="exact"/>
        <w:rPr>
          <w:rFonts w:ascii="Arial" w:cs="Arial" w:eastAsia="Arial" w:hAnsi="Arial"/>
          <w:sz w:val="19"/>
          <w:szCs w:val="19"/>
          <w:color w:val="auto"/>
        </w:rPr>
      </w:pPr>
    </w:p>
    <w:p>
      <w:pPr>
        <w:ind w:right="100" w:firstLine="1305"/>
        <w:spacing w:after="0" w:line="260" w:lineRule="auto"/>
        <w:tabs>
          <w:tab w:leader="none" w:pos="172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Stock Appreciation Right Agreement</w:t>
      </w:r>
      <w:r>
        <w:rPr>
          <w:rFonts w:ascii="Arial" w:cs="Arial" w:eastAsia="Arial" w:hAnsi="Arial"/>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7" w:lineRule="exact"/>
        <w:rPr>
          <w:rFonts w:ascii="Arial" w:cs="Arial" w:eastAsia="Arial" w:hAnsi="Arial"/>
          <w:sz w:val="22"/>
          <w:szCs w:val="22"/>
          <w:color w:val="auto"/>
        </w:rPr>
      </w:pPr>
    </w:p>
    <w:p>
      <w:pPr>
        <w:ind w:right="180" w:firstLine="1305"/>
        <w:spacing w:after="0" w:line="254" w:lineRule="auto"/>
        <w:tabs>
          <w:tab w:leader="none" w:pos="1716"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Expiration of Stock Appreciation Rights</w:t>
      </w:r>
      <w:r>
        <w:rPr>
          <w:rFonts w:ascii="Arial" w:cs="Arial" w:eastAsia="Arial" w:hAnsi="Arial"/>
          <w:sz w:val="22"/>
          <w:szCs w:val="22"/>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85" w:lineRule="exact"/>
        <w:rPr>
          <w:rFonts w:ascii="Arial" w:cs="Arial" w:eastAsia="Arial" w:hAnsi="Arial"/>
          <w:sz w:val="22"/>
          <w:szCs w:val="22"/>
          <w:color w:val="auto"/>
        </w:rPr>
      </w:pPr>
    </w:p>
    <w:p>
      <w:pPr>
        <w:ind w:right="100" w:firstLine="1305"/>
        <w:spacing w:after="0" w:line="276" w:lineRule="auto"/>
        <w:tabs>
          <w:tab w:leader="none" w:pos="1692"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Payment of Stock Appreciation Right Amount</w:t>
      </w:r>
      <w:r>
        <w:rPr>
          <w:rFonts w:ascii="Arial" w:cs="Arial" w:eastAsia="Arial" w:hAnsi="Arial"/>
          <w:sz w:val="22"/>
          <w:szCs w:val="22"/>
          <w:color w:val="auto"/>
        </w:rPr>
        <w:t>. Upon exercise of a Stock Appreciation Right, a Participant will be entitled to receive payment from the Company in an amount determined by multiplying:</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5600" w:hanging="120"/>
        <w:spacing w:after="0"/>
        <w:tabs>
          <w:tab w:leader="none" w:pos="5600" w:val="left"/>
        </w:tabs>
        <w:numPr>
          <w:ilvl w:val="2"/>
          <w:numId w:val="77"/>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400"/>
          </w:cols>
          <w:pgMar w:left="240" w:top="847" w:right="259" w:bottom="1440" w:gutter="0" w:footer="0" w:header="0"/>
        </w:sectPr>
      </w:pPr>
    </w:p>
    <w:bookmarkStart w:id="77" w:name="page78"/>
    <w:bookmarkEnd w:id="77"/>
    <w:p>
      <w:pPr>
        <w:ind w:left="1960"/>
        <w:spacing w:after="0"/>
        <w:tabs>
          <w:tab w:leader="none" w:pos="23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The difference between the Fair Market Value of a Share on the date of exercise over the exercise price;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times</w:t>
      </w:r>
    </w:p>
    <w:p>
      <w:pPr>
        <w:spacing w:after="0" w:line="215"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The number of Shares with respect to which the Stock Appreciation Right is exercised.</w:t>
      </w:r>
    </w:p>
    <w:p>
      <w:pPr>
        <w:spacing w:after="0" w:line="233"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At the discretion of the Administrator, the payment upon Stock Appreciation Right exercise may be in cash, in Shares of equivalent value, or in some combination thereof.</w:t>
      </w:r>
    </w:p>
    <w:p>
      <w:pPr>
        <w:spacing w:after="0" w:line="175" w:lineRule="exact"/>
        <w:rPr>
          <w:sz w:val="20"/>
          <w:szCs w:val="20"/>
          <w:color w:val="auto"/>
        </w:rPr>
      </w:pPr>
    </w:p>
    <w:p>
      <w:pPr>
        <w:ind w:left="1100" w:hanging="444"/>
        <w:spacing w:after="0"/>
        <w:tabs>
          <w:tab w:leader="none" w:pos="11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Performance Units and Performance Shares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1305"/>
        <w:spacing w:after="0" w:line="254" w:lineRule="auto"/>
        <w:tabs>
          <w:tab w:leader="none" w:pos="1716"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Grant of Performance Units/Shares</w:t>
      </w:r>
      <w:r>
        <w:rPr>
          <w:rFonts w:ascii="Arial" w:cs="Arial" w:eastAsia="Arial" w:hAnsi="Arial"/>
          <w:sz w:val="22"/>
          <w:szCs w:val="22"/>
          <w:color w:val="auto"/>
        </w:rPr>
        <w:t>. Subject to the terms and conditions of the Plan, Performance Units and Performance Shares may be granted to Service Providers at any time and from time to time, as will be determined by the Administrator, in its sole discretion and the Administrator will have complete discretion in determining the number of Performance Units and Performance Shares granted to each Participant.</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28"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Value of Performance Units/Shares</w:t>
      </w:r>
      <w:r>
        <w:rPr>
          <w:rFonts w:ascii="Arial" w:cs="Arial" w:eastAsia="Arial" w:hAnsi="Arial"/>
          <w:sz w:val="22"/>
          <w:szCs w:val="22"/>
          <w:color w:val="auto"/>
        </w:rPr>
        <w:t>. Subject to the terms and conditions of the Plan, each Performance Unit will have an initial value that is established by the Administrator on or before the date of grant and each Performance Share will have an initial value equal to the Fair Market Value of a Share on the date of grant.</w:t>
      </w:r>
    </w:p>
    <w:p>
      <w:pPr>
        <w:spacing w:after="0" w:line="177" w:lineRule="exact"/>
        <w:rPr>
          <w:rFonts w:ascii="Arial" w:cs="Arial" w:eastAsia="Arial" w:hAnsi="Arial"/>
          <w:sz w:val="22"/>
          <w:szCs w:val="22"/>
          <w:color w:val="auto"/>
        </w:rPr>
      </w:pPr>
    </w:p>
    <w:p>
      <w:pPr>
        <w:ind w:right="80" w:firstLine="1305"/>
        <w:spacing w:after="0" w:line="297" w:lineRule="auto"/>
        <w:tabs>
          <w:tab w:leader="none" w:pos="1716"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Performance Objectives and Other Terms</w:t>
      </w:r>
      <w:r>
        <w:rPr>
          <w:rFonts w:ascii="Arial" w:cs="Arial" w:eastAsia="Arial" w:hAnsi="Arial"/>
          <w:sz w:val="19"/>
          <w:szCs w:val="19"/>
          <w:color w:val="auto"/>
        </w:rPr>
        <w:t>. The Administrator will set Performance Goals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Arial" w:cs="Arial" w:eastAsia="Arial" w:hAnsi="Arial"/>
          <w:sz w:val="19"/>
          <w:szCs w:val="19"/>
          <w:u w:val="single" w:color="auto"/>
          <w:color w:val="auto"/>
        </w:rPr>
        <w:t>Performance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Each Award of Performance Units/Shares will be evidenced by an Award Agreement that will specify the Performance Period, and such other terms and conditions as the Administrator, in its sole discretion, will determine.</w:t>
      </w:r>
    </w:p>
    <w:p>
      <w:pPr>
        <w:spacing w:after="0" w:line="146" w:lineRule="exact"/>
        <w:rPr>
          <w:rFonts w:ascii="Arial" w:cs="Arial" w:eastAsia="Arial" w:hAnsi="Arial"/>
          <w:sz w:val="19"/>
          <w:szCs w:val="19"/>
          <w:color w:val="auto"/>
        </w:rPr>
      </w:pPr>
    </w:p>
    <w:p>
      <w:pPr>
        <w:jc w:val="both"/>
        <w:ind w:right="140" w:firstLine="1305"/>
        <w:spacing w:after="0" w:line="260" w:lineRule="auto"/>
        <w:tabs>
          <w:tab w:leader="none" w:pos="1728"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Measurement of Performance Goals</w:t>
      </w:r>
      <w:r>
        <w:rPr>
          <w:rFonts w:ascii="Arial" w:cs="Arial" w:eastAsia="Arial" w:hAnsi="Arial"/>
          <w:sz w:val="22"/>
          <w:szCs w:val="22"/>
          <w:color w:val="auto"/>
        </w:rPr>
        <w:t>. Performance Goals shall be established by the Committee on the basis of targets to be attained with respect to one or more measures of business or financial performance (each, a “</w:t>
      </w:r>
      <w:r>
        <w:rPr>
          <w:rFonts w:ascii="Arial" w:cs="Arial" w:eastAsia="Arial" w:hAnsi="Arial"/>
          <w:sz w:val="22"/>
          <w:szCs w:val="22"/>
          <w:u w:val="single" w:color="auto"/>
          <w:color w:val="auto"/>
        </w:rPr>
        <w:t>Performance Measure</w:t>
      </w:r>
      <w:r>
        <w:rPr>
          <w:rFonts w:ascii="Arial" w:cs="Arial" w:eastAsia="Arial" w:hAnsi="Arial"/>
          <w:sz w:val="22"/>
          <w:szCs w:val="22"/>
          <w:color w:val="auto"/>
        </w:rPr>
        <w:t>”), subject to the following:</w:t>
      </w:r>
    </w:p>
    <w:p>
      <w:pPr>
        <w:spacing w:after="0" w:line="177" w:lineRule="exact"/>
        <w:rPr>
          <w:rFonts w:ascii="Arial" w:cs="Arial" w:eastAsia="Arial" w:hAnsi="Arial"/>
          <w:sz w:val="22"/>
          <w:szCs w:val="22"/>
          <w:color w:val="auto"/>
        </w:rPr>
      </w:pPr>
    </w:p>
    <w:p>
      <w:pPr>
        <w:ind w:firstLine="1953"/>
        <w:spacing w:after="0" w:line="261" w:lineRule="auto"/>
        <w:tabs>
          <w:tab w:leader="none" w:pos="2329" w:val="left"/>
        </w:tabs>
        <w:numPr>
          <w:ilvl w:val="2"/>
          <w:numId w:val="78"/>
        </w:numPr>
        <w:rPr>
          <w:rFonts w:ascii="Arial" w:cs="Arial" w:eastAsia="Arial" w:hAnsi="Arial"/>
          <w:sz w:val="21"/>
          <w:szCs w:val="21"/>
          <w:color w:val="auto"/>
        </w:rPr>
      </w:pPr>
      <w:r>
        <w:rPr>
          <w:rFonts w:ascii="Arial" w:cs="Arial" w:eastAsia="Arial" w:hAnsi="Arial"/>
          <w:sz w:val="21"/>
          <w:szCs w:val="21"/>
          <w:u w:val="single" w:color="auto"/>
          <w:color w:val="auto"/>
        </w:rPr>
        <w:t>Performance Measures</w:t>
      </w:r>
      <w:r>
        <w:rPr>
          <w:rFonts w:ascii="Arial" w:cs="Arial" w:eastAsia="Arial" w:hAnsi="Arial"/>
          <w:sz w:val="21"/>
          <w:szCs w:val="21"/>
          <w:color w:val="auto"/>
        </w:rPr>
        <w:t>. For each Performance Period, the Committee shall establish and set forth in writing, within the time period prescribed by, and otherwise in compliance with the requirements of Code Section 162(m), the Performance Measures, if any, and any particulars, components and adjustments relating thereto, applicable to each Participant. The Performance Measures, if any, will be objectively measurable and will be based upon the achievement of a specified percentage or level in one or more objectively defined and non-discretionary factors preestablished by the Committee. Performance Measures may be one or more of the following, and may be determined pursuant to generally accepted accounting principles (“GAAP”), non-GAAP or other basis, in each case as determined by the Committee: (i) net sales; (ii) non-sales revenue; (iii) operating income; (iv) income or earnings including</w:t>
      </w:r>
    </w:p>
    <w:p>
      <w:pPr>
        <w:spacing w:after="0" w:line="200" w:lineRule="exact"/>
        <w:rPr>
          <w:rFonts w:ascii="Arial" w:cs="Arial" w:eastAsia="Arial" w:hAnsi="Arial"/>
          <w:sz w:val="21"/>
          <w:szCs w:val="21"/>
          <w:color w:val="auto"/>
        </w:rPr>
      </w:pPr>
    </w:p>
    <w:p>
      <w:pPr>
        <w:spacing w:after="0" w:line="224" w:lineRule="exact"/>
        <w:rPr>
          <w:rFonts w:ascii="Arial" w:cs="Arial" w:eastAsia="Arial" w:hAnsi="Arial"/>
          <w:sz w:val="21"/>
          <w:szCs w:val="21"/>
          <w:color w:val="auto"/>
        </w:rPr>
      </w:pPr>
    </w:p>
    <w:p>
      <w:pPr>
        <w:ind w:left="5600" w:hanging="120"/>
        <w:spacing w:after="0"/>
        <w:tabs>
          <w:tab w:leader="none" w:pos="5600" w:val="left"/>
        </w:tabs>
        <w:numPr>
          <w:ilvl w:val="3"/>
          <w:numId w:val="78"/>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1420"/>
          </w:cols>
          <w:pgMar w:left="240" w:top="847" w:right="239" w:bottom="1440" w:gutter="0" w:footer="0" w:header="0"/>
        </w:sectPr>
      </w:pPr>
    </w:p>
    <w:bookmarkStart w:id="78" w:name="page79"/>
    <w:bookmarkEnd w:id="78"/>
    <w:p>
      <w:pPr>
        <w:spacing w:after="0" w:line="282" w:lineRule="auto"/>
        <w:rPr>
          <w:sz w:val="20"/>
          <w:szCs w:val="20"/>
          <w:color w:val="auto"/>
        </w:rPr>
      </w:pPr>
      <w:r>
        <w:rPr>
          <w:rFonts w:ascii="Arial" w:cs="Arial" w:eastAsia="Arial" w:hAnsi="Arial"/>
          <w:sz w:val="19"/>
          <w:szCs w:val="19"/>
          <w:color w:val="auto"/>
        </w:rPr>
        <w:t>operating income; (v) income or earnings before taxes, interest, depreciation and/or amortization; (vi) income or earnings from continuing operations; (vii) effective tax rates; (viii) cash taxes; (ix) net income; (x) pre-tax income or after-tax income; (xi) net income excluding amortization of intangible assets, depreciation and impairment of goodwill and intangible assets and/or excluding charges attributable to the adoption of new accounting pronouncements; (xii) financing or capital transactions; (xiii) project financing; (xiv) revenue backlog; (xv) gross margin; (xvi) operating margin or profit margin; (xvii) capital expenditures, cost targets, and expense management; (xviiii) return on assets (gross or net), return on investment, return on capital, or return on shareholder equity; (xix) cash flow, free cash flow, cash flow return on investment (discounted or otherwise), net cash provided by operations, or cash flow in excess of cost of capital; (xx) performance warranty and/or guarantee claims; (xxi) stock price or total stockholder return; (xxii) earnings or book value per share (basic or diluted); (xxiii) economic value created; (xxiv) pre-tax profit or after-tax profit; (xxv) strategic business criteria, consisting of one or more objectives based on meeting specified market penetration or market share, geographic business expansion, objective customer satisfaction or information technology goals; (xxvi) objective goals relating to divestitures, joint ventures, mergers, acquisitions and similar transactions; (xxvii) construction projects consisting of one or more objectives based upon meeting project completion timing milestones, project budget, site acquisition, site development, or site equipment functionality; (xxviii) objective goals relating to staff management, results from staff attitude and/or opinion surveys, staff satisfaction scores, staff safety, staff accident and/or injury rates, headcount, performance management, completion of critical staff training initiatives; (xxix) objective goals relating to projects, including project completion timing milestones, project budget; (xxx) key regulatory objectives; and (xxxi) enterprise resource planning. The Committee may specify that such Performance Measures shall be adjusted to exclude any one or more of (i) extraordinary items,</w:t>
      </w:r>
    </w:p>
    <w:p>
      <w:pPr>
        <w:spacing w:after="0" w:line="16"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gains or losses on the dispositions of discontinued operations, (iii) the cumulative effects of changes in accounting principles,</w:t>
      </w:r>
    </w:p>
    <w:p>
      <w:pPr>
        <w:spacing w:after="0" w:line="38" w:lineRule="exact"/>
        <w:rPr>
          <w:rFonts w:ascii="Arial" w:cs="Arial" w:eastAsia="Arial" w:hAnsi="Arial"/>
          <w:sz w:val="19"/>
          <w:szCs w:val="19"/>
          <w:color w:val="auto"/>
        </w:rPr>
      </w:pPr>
    </w:p>
    <w:p>
      <w:pPr>
        <w:ind w:right="80" w:firstLine="8"/>
        <w:spacing w:after="0" w:line="246" w:lineRule="auto"/>
        <w:tabs>
          <w:tab w:leader="none" w:pos="36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writedown of any asset, (v) fluctuation in foreign currency exchange rates, (vi) charges for restructuring and rationalization programs, and (vii) unusual and/or infrequent events impacting Company performance.</w:t>
      </w:r>
    </w:p>
    <w:p>
      <w:pPr>
        <w:spacing w:after="0" w:line="192" w:lineRule="exact"/>
        <w:rPr>
          <w:rFonts w:ascii="Arial" w:cs="Arial" w:eastAsia="Arial" w:hAnsi="Arial"/>
          <w:sz w:val="22"/>
          <w:szCs w:val="22"/>
          <w:color w:val="auto"/>
        </w:rPr>
      </w:pPr>
    </w:p>
    <w:p>
      <w:pPr>
        <w:ind w:right="40" w:firstLine="1953"/>
        <w:spacing w:after="0" w:line="290" w:lineRule="auto"/>
        <w:tabs>
          <w:tab w:leader="none" w:pos="2389"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Committee Discretion on Performance Measures</w:t>
      </w:r>
      <w:r>
        <w:rPr>
          <w:rFonts w:ascii="Arial" w:cs="Arial" w:eastAsia="Arial" w:hAnsi="Arial"/>
          <w:sz w:val="19"/>
          <w:szCs w:val="19"/>
          <w:color w:val="auto"/>
        </w:rPr>
        <w:t>. As determined in the discretion of the Committee, the Performance Measures for any Performance Period may (a) differ from Participant to Participant and from Award to Award, (b) be based on the performance of the Company as a whole or the performance of a specific Participant or one or more subsidiaries, divisions, departments, regions, stores, segments, products, functions or business units of the Company or individual project company, (c) be measured on a per share, per capita, per unit, per square foot, per employee, per store basis, and/or other objective basis (d) be measured on a pre-tax or after-tax basis, and (e) be measured on an absolute basis or in relative terms (including, but not limited to, the passage of time and/or against other companies, financial metrics and/or an index). Without limiting the foregoing, the Committee shall adjust any performance criteria, Performance Measures or other feature of an Award that relates to or is wholly or partially based on the number of, or the value of, any stock of the Company, to reflect any stock dividend or split, repurchase, recapitalization, combination, or exchange of shares or other similar changes in such stock. Awards that are not intended by the Company to comply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5" w:lineRule="exact"/>
        <w:rPr>
          <w:rFonts w:ascii="Arial" w:cs="Arial" w:eastAsia="Arial" w:hAnsi="Arial"/>
          <w:sz w:val="19"/>
          <w:szCs w:val="19"/>
          <w:color w:val="auto"/>
        </w:rPr>
      </w:pPr>
    </w:p>
    <w:p>
      <w:pPr>
        <w:ind w:left="5600" w:hanging="120"/>
        <w:spacing w:after="0"/>
        <w:tabs>
          <w:tab w:leader="none" w:pos="5600" w:val="left"/>
        </w:tabs>
        <w:numPr>
          <w:ilvl w:val="2"/>
          <w:numId w:val="80"/>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1420"/>
          </w:cols>
          <w:pgMar w:left="240" w:top="847" w:right="239" w:bottom="1440" w:gutter="0" w:footer="0" w:header="0"/>
        </w:sectPr>
      </w:pPr>
    </w:p>
    <w:bookmarkStart w:id="79" w:name="page80"/>
    <w:bookmarkEnd w:id="79"/>
    <w:p>
      <w:pPr>
        <w:ind w:right="320"/>
        <w:spacing w:after="0" w:line="263" w:lineRule="auto"/>
        <w:rPr>
          <w:sz w:val="20"/>
          <w:szCs w:val="20"/>
          <w:color w:val="auto"/>
        </w:rPr>
      </w:pPr>
      <w:r>
        <w:rPr>
          <w:rFonts w:ascii="Arial" w:cs="Arial" w:eastAsia="Arial" w:hAnsi="Arial"/>
          <w:sz w:val="22"/>
          <w:szCs w:val="22"/>
          <w:color w:val="auto"/>
        </w:rPr>
        <w:t>with the performance-based compensation exception under Code Section 162(m) may take into account other factors (including subjective factors).</w:t>
      </w:r>
    </w:p>
    <w:p>
      <w:pPr>
        <w:spacing w:after="0" w:line="175" w:lineRule="exact"/>
        <w:rPr>
          <w:sz w:val="20"/>
          <w:szCs w:val="20"/>
          <w:color w:val="auto"/>
        </w:rPr>
      </w:pPr>
    </w:p>
    <w:p>
      <w:pPr>
        <w:ind w:firstLine="1305"/>
        <w:spacing w:after="0" w:line="261" w:lineRule="auto"/>
        <w:tabs>
          <w:tab w:leader="none" w:pos="1716"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Earning of Performance Units/Shares</w:t>
      </w:r>
      <w:r>
        <w:rPr>
          <w:rFonts w:ascii="Arial" w:cs="Arial" w:eastAsia="Arial" w:hAnsi="Arial"/>
          <w:sz w:val="21"/>
          <w:szCs w:val="21"/>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Goals or other vesting provisions have been achieved. Notwithstanding any provision of the Plan, with respect to any Performance Unit or Performance Share that is intended to qualify as performance-based compensation under Code Section 162(m), the Committee may adjust downwards, but not upwards, the cash or number of Shares payable pursuant to such Award, and the Committee may not waive the achievement of the applicable Performance Measures except in the case of the death or disability of the Participant or a change in control of the Company.</w:t>
      </w:r>
    </w:p>
    <w:p>
      <w:pPr>
        <w:spacing w:after="0" w:line="181" w:lineRule="exact"/>
        <w:rPr>
          <w:rFonts w:ascii="Arial" w:cs="Arial" w:eastAsia="Arial" w:hAnsi="Arial"/>
          <w:sz w:val="21"/>
          <w:szCs w:val="21"/>
          <w:color w:val="auto"/>
        </w:rPr>
      </w:pPr>
    </w:p>
    <w:p>
      <w:pPr>
        <w:ind w:right="140" w:firstLine="1305"/>
        <w:spacing w:after="0" w:line="307" w:lineRule="auto"/>
        <w:tabs>
          <w:tab w:leader="none" w:pos="1692"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Form and Timing of Payment of Performance Units/Shares</w:t>
      </w:r>
      <w:r>
        <w:rPr>
          <w:rFonts w:ascii="Arial" w:cs="Arial" w:eastAsia="Arial" w:hAnsi="Arial"/>
          <w:sz w:val="19"/>
          <w:szCs w:val="19"/>
          <w:color w:val="auto"/>
        </w:rPr>
        <w:t>. Payment of earned Performance Units/Shares will be made upon the time set forth in the applicable Award Agreement.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38" w:lineRule="exact"/>
        <w:rPr>
          <w:rFonts w:ascii="Arial" w:cs="Arial" w:eastAsia="Arial" w:hAnsi="Arial"/>
          <w:sz w:val="19"/>
          <w:szCs w:val="19"/>
          <w:color w:val="auto"/>
        </w:rPr>
      </w:pPr>
    </w:p>
    <w:p>
      <w:pPr>
        <w:ind w:right="540" w:firstLine="1305"/>
        <w:spacing w:after="0" w:line="358" w:lineRule="auto"/>
        <w:tabs>
          <w:tab w:leader="none" w:pos="1728"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Cancellation of Performance Units/Shares</w:t>
      </w:r>
      <w:r>
        <w:rPr>
          <w:rFonts w:ascii="Arial" w:cs="Arial" w:eastAsia="Arial" w:hAnsi="Arial"/>
          <w:sz w:val="19"/>
          <w:szCs w:val="19"/>
          <w:color w:val="auto"/>
        </w:rPr>
        <w:t>. On the date set forth in the Award Agreement, all unearned or unvested Performance Units/Shares will be forfeited to the Company, and again will be available for grant under the Plan.</w:t>
      </w:r>
    </w:p>
    <w:p>
      <w:pPr>
        <w:spacing w:after="0" w:line="90" w:lineRule="exact"/>
        <w:rPr>
          <w:rFonts w:ascii="Arial" w:cs="Arial" w:eastAsia="Arial" w:hAnsi="Arial"/>
          <w:sz w:val="19"/>
          <w:szCs w:val="19"/>
          <w:color w:val="auto"/>
        </w:rPr>
      </w:pPr>
    </w:p>
    <w:p>
      <w:pPr>
        <w:ind w:right="20" w:firstLine="656"/>
        <w:spacing w:after="0" w:line="292" w:lineRule="auto"/>
        <w:tabs>
          <w:tab w:leader="none" w:pos="109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Leaves of Absence/Transfer Between Locations</w:t>
      </w:r>
      <w:r>
        <w:rPr>
          <w:rFonts w:ascii="Arial" w:cs="Arial" w:eastAsia="Arial" w:hAnsi="Arial"/>
          <w:sz w:val="19"/>
          <w:szCs w:val="19"/>
          <w:color w:val="auto"/>
        </w:rPr>
        <w:t>. Unless the Administrator provides otherwise, vesting of Awards granted hereunder will be suspended during any unpaid leave of absence unless contrary to Applicable Law. A Participant will not cease to be an Employee in the case of (i) any leave of absence approved by the Participant’s employer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Participant’s employer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55" w:lineRule="exact"/>
        <w:rPr>
          <w:rFonts w:ascii="Arial" w:cs="Arial" w:eastAsia="Arial" w:hAnsi="Arial"/>
          <w:sz w:val="19"/>
          <w:szCs w:val="19"/>
          <w:color w:val="auto"/>
        </w:rPr>
      </w:pPr>
    </w:p>
    <w:p>
      <w:pPr>
        <w:ind w:right="100" w:firstLine="656"/>
        <w:spacing w:after="0" w:line="307" w:lineRule="auto"/>
        <w:tabs>
          <w:tab w:leader="none" w:pos="109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Transferability of Awards</w:t>
      </w:r>
      <w:r>
        <w:rPr>
          <w:rFonts w:ascii="Arial" w:cs="Arial" w:eastAsia="Arial" w:hAnsi="Arial"/>
          <w:sz w:val="19"/>
          <w:szCs w:val="19"/>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381" w:lineRule="exact"/>
        <w:rPr>
          <w:rFonts w:ascii="Arial" w:cs="Arial" w:eastAsia="Arial" w:hAnsi="Arial"/>
          <w:sz w:val="19"/>
          <w:szCs w:val="19"/>
          <w:color w:val="auto"/>
        </w:rPr>
      </w:pPr>
    </w:p>
    <w:p>
      <w:pPr>
        <w:ind w:left="5600" w:hanging="120"/>
        <w:spacing w:after="0"/>
        <w:tabs>
          <w:tab w:leader="none" w:pos="5600" w:val="left"/>
        </w:tabs>
        <w:numPr>
          <w:ilvl w:val="2"/>
          <w:numId w:val="82"/>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1380"/>
          </w:cols>
          <w:pgMar w:left="240" w:top="847" w:right="279" w:bottom="1440" w:gutter="0" w:footer="0" w:header="0"/>
        </w:sectPr>
      </w:pPr>
    </w:p>
    <w:bookmarkStart w:id="80" w:name="page81"/>
    <w:bookmarkEnd w:id="80"/>
    <w:p>
      <w:pPr>
        <w:ind w:left="1100" w:hanging="444"/>
        <w:spacing w:after="0"/>
        <w:tabs>
          <w:tab w:leader="none" w:pos="11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 Merger or 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91" w:lineRule="auto"/>
        <w:tabs>
          <w:tab w:leader="none" w:pos="1716"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the numerical Share limits and Share counting provisions in Section 3 of the Plan and the numerical sublimits in Section 4 of the Plan. Notwithstanding the forgoing, all adjustments under this Section 13 shall be made in a manner that does not result in taxation under Code Section 409A.</w:t>
      </w:r>
    </w:p>
    <w:p>
      <w:pPr>
        <w:spacing w:after="0" w:line="154" w:lineRule="exact"/>
        <w:rPr>
          <w:rFonts w:ascii="Arial" w:cs="Arial" w:eastAsia="Arial" w:hAnsi="Arial"/>
          <w:sz w:val="19"/>
          <w:szCs w:val="19"/>
          <w:color w:val="auto"/>
        </w:rPr>
      </w:pPr>
    </w:p>
    <w:p>
      <w:pPr>
        <w:jc w:val="both"/>
        <w:ind w:right="20" w:firstLine="1305"/>
        <w:spacing w:after="0" w:line="254" w:lineRule="auto"/>
        <w:tabs>
          <w:tab w:leader="none" w:pos="1728"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winding up,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5" w:lineRule="exact"/>
        <w:rPr>
          <w:rFonts w:ascii="Arial" w:cs="Arial" w:eastAsia="Arial" w:hAnsi="Arial"/>
          <w:sz w:val="22"/>
          <w:szCs w:val="22"/>
          <w:color w:val="auto"/>
        </w:rPr>
      </w:pPr>
    </w:p>
    <w:p>
      <w:pPr>
        <w:ind w:right="80" w:firstLine="1305"/>
        <w:spacing w:after="0" w:line="291" w:lineRule="auto"/>
        <w:tabs>
          <w:tab w:leader="none" w:pos="1716"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Except as set forth in an Award Agreement, to the extent the successor corporation in a merger or Change in Control does not assume or substitute for outstanding Awards under the Plan,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55"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1380"/>
          </w:cols>
          <w:pgMar w:left="240" w:top="847" w:right="279" w:bottom="1440" w:gutter="0" w:footer="0" w:header="0"/>
        </w:sectPr>
      </w:pPr>
    </w:p>
    <w:bookmarkStart w:id="81" w:name="page82"/>
    <w:bookmarkEnd w:id="81"/>
    <w:p>
      <w:pPr>
        <w:ind w:right="520"/>
        <w:spacing w:after="0" w:line="250" w:lineRule="auto"/>
        <w:rPr>
          <w:sz w:val="20"/>
          <w:szCs w:val="20"/>
          <w:color w:val="auto"/>
        </w:rPr>
      </w:pPr>
      <w:r>
        <w:rPr>
          <w:rFonts w:ascii="Arial" w:cs="Arial" w:eastAsia="Arial" w:hAnsi="Arial"/>
          <w:sz w:val="22"/>
          <w:szCs w:val="22"/>
          <w:color w:val="auto"/>
        </w:rPr>
        <w:t>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8"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92" w:lineRule="exact"/>
        <w:rPr>
          <w:sz w:val="20"/>
          <w:szCs w:val="20"/>
          <w:color w:val="auto"/>
        </w:rPr>
      </w:pPr>
    </w:p>
    <w:p>
      <w:pPr>
        <w:ind w:left="1100" w:hanging="444"/>
        <w:spacing w:after="0"/>
        <w:tabs>
          <w:tab w:leader="none" w:pos="11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305"/>
        <w:spacing w:after="0" w:line="251" w:lineRule="auto"/>
        <w:tabs>
          <w:tab w:leader="none" w:pos="1716"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Withholding Requirements</w:t>
      </w:r>
      <w:r>
        <w:rPr>
          <w:rFonts w:ascii="Arial" w:cs="Arial" w:eastAsia="Arial" w:hAnsi="Arial"/>
          <w:sz w:val="22"/>
          <w:szCs w:val="22"/>
          <w:color w:val="auto"/>
        </w:rPr>
        <w:t>. Prior to the delivery of any Shares or cash pursuant to an Award (or exercise thereof) or prior to any time the Award or Shares are subject to taxation, the Company and/or the Participant’s employer will have the power and the right to deduct or withhold, or require a Participant to remit to the Company, an amount sufficient to satisfy federal, state, local, foreign or other taxes (including the Participant’s FICA obligation or social insurance contributions) required to be withheld with respect to such Award (or exercise thereof).</w:t>
      </w:r>
    </w:p>
    <w:p>
      <w:pPr>
        <w:spacing w:after="0" w:line="189" w:lineRule="exact"/>
        <w:rPr>
          <w:rFonts w:ascii="Arial" w:cs="Arial" w:eastAsia="Arial" w:hAnsi="Arial"/>
          <w:sz w:val="22"/>
          <w:szCs w:val="22"/>
          <w:color w:val="auto"/>
        </w:rPr>
      </w:pPr>
    </w:p>
    <w:p>
      <w:pPr>
        <w:ind w:right="60" w:firstLine="1305"/>
        <w:spacing w:after="0" w:line="291" w:lineRule="auto"/>
        <w:tabs>
          <w:tab w:leader="none" w:pos="1728"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Withholding Arrangements</w:t>
      </w:r>
      <w:r>
        <w:rPr>
          <w:rFonts w:ascii="Arial" w:cs="Arial" w:eastAsia="Arial" w:hAnsi="Arial"/>
          <w:sz w:val="19"/>
          <w:szCs w:val="19"/>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(to the extent required to avoid adverse accounting consequences), or (c) delivering to the Company already-owned Shares having a Fair Market Value equal to the minimum statutory amount required to be withheld to the extent required to avoid adverse accounting consequences or Shares having a Fair Market Value in excess of such amount that have been held for such period required to avoid adverse accounting consequences. Except as otherwise determined by the Administrator, the Fair Market Value of the Shares to be withheld or delivered will be determined as of the date that the taxes are required to be withheld.</w:t>
      </w:r>
    </w:p>
    <w:p>
      <w:pPr>
        <w:spacing w:after="0" w:line="155" w:lineRule="exact"/>
        <w:rPr>
          <w:sz w:val="20"/>
          <w:szCs w:val="20"/>
          <w:color w:val="auto"/>
        </w:rPr>
      </w:pPr>
    </w:p>
    <w:p>
      <w:pPr>
        <w:ind w:firstLine="656"/>
        <w:spacing w:after="0" w:line="261" w:lineRule="auto"/>
        <w:tabs>
          <w:tab w:leader="none" w:pos="1068"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Compliance With Code Section 409A</w:t>
      </w:r>
      <w:r>
        <w:rPr>
          <w:rFonts w:ascii="Arial" w:cs="Arial" w:eastAsia="Arial" w:hAnsi="Arial"/>
          <w:sz w:val="21"/>
          <w:szCs w:val="21"/>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The Plan and each Award Agreement under the Plan is intended to meet the requirements of Code Section 409A (or an exemption therefrom)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(or an exemption therefrom), such that the grant, payment, settlement or</w:t>
      </w:r>
    </w:p>
    <w:p>
      <w:pPr>
        <w:spacing w:after="0" w:line="200" w:lineRule="exact"/>
        <w:rPr>
          <w:rFonts w:ascii="Arial" w:cs="Arial" w:eastAsia="Arial" w:hAnsi="Arial"/>
          <w:sz w:val="21"/>
          <w:szCs w:val="21"/>
          <w:color w:val="auto"/>
        </w:rPr>
      </w:pPr>
    </w:p>
    <w:p>
      <w:pPr>
        <w:spacing w:after="0" w:line="224" w:lineRule="exact"/>
        <w:rPr>
          <w:rFonts w:ascii="Arial" w:cs="Arial" w:eastAsia="Arial" w:hAnsi="Arial"/>
          <w:sz w:val="21"/>
          <w:szCs w:val="21"/>
          <w:color w:val="auto"/>
        </w:rPr>
      </w:pPr>
    </w:p>
    <w:p>
      <w:pPr>
        <w:ind w:left="5600" w:hanging="120"/>
        <w:spacing w:after="0"/>
        <w:tabs>
          <w:tab w:leader="none" w:pos="56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20 -</w:t>
      </w:r>
    </w:p>
    <w:p>
      <w:pPr>
        <w:sectPr>
          <w:pgSz w:w="11900" w:h="16838" w:orient="portrait"/>
          <w:cols w:equalWidth="0" w:num="1">
            <w:col w:w="11420"/>
          </w:cols>
          <w:pgMar w:left="240" w:top="847" w:right="239" w:bottom="1440" w:gutter="0" w:footer="0" w:header="0"/>
        </w:sectPr>
      </w:pPr>
    </w:p>
    <w:bookmarkStart w:id="82" w:name="page83"/>
    <w:bookmarkEnd w:id="82"/>
    <w:p>
      <w:pPr>
        <w:spacing w:after="0" w:line="287" w:lineRule="auto"/>
        <w:rPr>
          <w:sz w:val="20"/>
          <w:szCs w:val="20"/>
          <w:color w:val="auto"/>
        </w:rPr>
      </w:pPr>
      <w:r>
        <w:rPr>
          <w:rFonts w:ascii="Arial" w:cs="Arial" w:eastAsia="Arial" w:hAnsi="Arial"/>
          <w:sz w:val="19"/>
          <w:szCs w:val="19"/>
          <w:color w:val="auto"/>
        </w:rPr>
        <w:t>deferral will not be subject to the additional tax or interest applicable under Code Section 409A. Except as provided in an individual Award Agreement initially or by amendment, if and to the extent (i) any portion of any payment, compensation or other benefit provided to a Participant pursuant to the Plan in connection with his or her employment termination constitutes “nonqualified deferred compensation” within the meaning of Code Section 409A and (ii) the Participant is a specified employee as defined in Code Section 409A(a)(2)(B)(i),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Code Section 409A) (the “</w:t>
      </w:r>
      <w:r>
        <w:rPr>
          <w:rFonts w:ascii="Arial" w:cs="Arial" w:eastAsia="Arial" w:hAnsi="Arial"/>
          <w:sz w:val="19"/>
          <w:szCs w:val="19"/>
          <w:u w:val="single" w:color="auto"/>
          <w:color w:val="auto"/>
        </w:rPr>
        <w:t>New Payment Date</w:t>
      </w:r>
      <w:r>
        <w:rPr>
          <w:rFonts w:ascii="Arial" w:cs="Arial" w:eastAsia="Arial" w:hAnsi="Arial"/>
          <w:sz w:val="19"/>
          <w:szCs w:val="19"/>
          <w:color w:val="auto"/>
        </w:rPr>
        <w:t>”), except as Code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In no event will the Company be responsible for or reimburse a Participant for any taxes or other penalties incurred as a result of applicable of Code Section 409A.</w:t>
      </w:r>
    </w:p>
    <w:p>
      <w:pPr>
        <w:spacing w:after="0" w:line="160" w:lineRule="exact"/>
        <w:rPr>
          <w:sz w:val="20"/>
          <w:szCs w:val="20"/>
          <w:color w:val="auto"/>
        </w:rPr>
      </w:pPr>
    </w:p>
    <w:p>
      <w:pPr>
        <w:ind w:right="300" w:firstLine="656"/>
        <w:spacing w:after="0" w:line="270" w:lineRule="auto"/>
        <w:tabs>
          <w:tab w:leader="none" w:pos="1098"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No Effect on Employment or Service</w:t>
      </w:r>
      <w:r>
        <w:rPr>
          <w:rFonts w:ascii="Arial" w:cs="Arial" w:eastAsia="Arial" w:hAnsi="Arial"/>
          <w:sz w:val="21"/>
          <w:szCs w:val="21"/>
          <w:color w:val="auto"/>
        </w:rPr>
        <w:t>. Neither the Plan nor any Award will confer upon a Participant any right with respect to continuing the Participant’s relationship as a Service Provider with the Company, or (if different) the Participant’s employer, nor will they interfere in any way with the Participant’s right or the Participant’s employer’s right to terminate such relationship at any time, with or without cause, to the extent permitted by Applicable Laws.</w:t>
      </w:r>
    </w:p>
    <w:p>
      <w:pPr>
        <w:spacing w:after="0" w:line="169" w:lineRule="exact"/>
        <w:rPr>
          <w:rFonts w:ascii="Arial" w:cs="Arial" w:eastAsia="Arial" w:hAnsi="Arial"/>
          <w:sz w:val="21"/>
          <w:szCs w:val="21"/>
          <w:color w:val="auto"/>
        </w:rPr>
      </w:pPr>
    </w:p>
    <w:p>
      <w:pPr>
        <w:ind w:right="500" w:firstLine="656"/>
        <w:spacing w:after="0" w:line="276" w:lineRule="auto"/>
        <w:tabs>
          <w:tab w:leader="none" w:pos="109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In accepting an award granted under the Plan after June 7, 2016, a Participant shall agree to be bound by any clawback policy the Company may adopt on or after such date.</w:t>
      </w:r>
    </w:p>
    <w:p>
      <w:pPr>
        <w:spacing w:after="0" w:line="160" w:lineRule="exact"/>
        <w:rPr>
          <w:rFonts w:ascii="Arial" w:cs="Arial" w:eastAsia="Arial" w:hAnsi="Arial"/>
          <w:sz w:val="22"/>
          <w:szCs w:val="22"/>
          <w:color w:val="auto"/>
        </w:rPr>
      </w:pPr>
    </w:p>
    <w:p>
      <w:pPr>
        <w:ind w:right="40" w:firstLine="656"/>
        <w:spacing w:after="0" w:line="278" w:lineRule="auto"/>
        <w:tabs>
          <w:tab w:leader="none" w:pos="1098"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Date of Grant</w:t>
      </w:r>
      <w:r>
        <w:rPr>
          <w:rFonts w:ascii="Arial" w:cs="Arial" w:eastAsia="Arial" w:hAnsi="Arial"/>
          <w:sz w:val="21"/>
          <w:szCs w:val="21"/>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60" w:lineRule="exact"/>
        <w:rPr>
          <w:rFonts w:ascii="Arial" w:cs="Arial" w:eastAsia="Arial" w:hAnsi="Arial"/>
          <w:sz w:val="21"/>
          <w:szCs w:val="21"/>
          <w:color w:val="auto"/>
        </w:rPr>
      </w:pPr>
    </w:p>
    <w:p>
      <w:pPr>
        <w:ind w:right="120" w:firstLine="656"/>
        <w:spacing w:after="0" w:line="276" w:lineRule="auto"/>
        <w:tabs>
          <w:tab w:leader="none" w:pos="109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The Original Plan became effective the Effective Date and the Plan will continue in effect for a term of ten (10) years from the Effective Date, unless terminated earlier under Section 19 of the Plan.</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Committee may at any time amend, alter, suspend or terminate the Plan.</w:t>
      </w:r>
    </w:p>
    <w:p>
      <w:pPr>
        <w:spacing w:after="0" w:line="267" w:lineRule="exact"/>
        <w:rPr>
          <w:rFonts w:ascii="Arial" w:cs="Arial" w:eastAsia="Arial" w:hAnsi="Arial"/>
          <w:sz w:val="19"/>
          <w:szCs w:val="19"/>
          <w:color w:val="auto"/>
        </w:rPr>
      </w:pPr>
    </w:p>
    <w:p>
      <w:pPr>
        <w:ind w:right="300" w:firstLine="1305"/>
        <w:spacing w:after="0" w:line="276" w:lineRule="auto"/>
        <w:tabs>
          <w:tab w:leader="none" w:pos="1728"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Company will obtain stockholder approval of any Plan amendment to the extent necessary and desirable to comply with Applicable Laws.</w:t>
      </w:r>
    </w:p>
    <w:p>
      <w:pPr>
        <w:spacing w:after="0" w:line="160" w:lineRule="exact"/>
        <w:rPr>
          <w:rFonts w:ascii="Arial" w:cs="Arial" w:eastAsia="Arial" w:hAnsi="Arial"/>
          <w:sz w:val="22"/>
          <w:szCs w:val="22"/>
          <w:color w:val="auto"/>
        </w:rPr>
      </w:pPr>
    </w:p>
    <w:p>
      <w:pPr>
        <w:ind w:right="340" w:firstLine="1305"/>
        <w:spacing w:after="0" w:line="276" w:lineRule="auto"/>
        <w:tabs>
          <w:tab w:leader="none" w:pos="1716"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Effect of Amendment or Termination</w:t>
      </w:r>
      <w:r>
        <w:rPr>
          <w:rFonts w:ascii="Arial" w:cs="Arial" w:eastAsia="Arial" w:hAnsi="Arial"/>
          <w:sz w:val="22"/>
          <w:szCs w:val="22"/>
          <w:color w:val="auto"/>
        </w:rPr>
        <w:t>. No amendment, alteration, suspension or termination of the Plan will impair the rights of any Participant, unless mutually</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5600" w:hanging="120"/>
        <w:spacing w:after="0"/>
        <w:tabs>
          <w:tab w:leader="none" w:pos="5600" w:val="left"/>
        </w:tabs>
        <w:numPr>
          <w:ilvl w:val="2"/>
          <w:numId w:val="86"/>
        </w:numPr>
        <w:rPr>
          <w:rFonts w:ascii="Arial" w:cs="Arial" w:eastAsia="Arial" w:hAnsi="Arial"/>
          <w:sz w:val="22"/>
          <w:szCs w:val="22"/>
          <w:color w:val="auto"/>
        </w:rPr>
      </w:pPr>
      <w:r>
        <w:rPr>
          <w:rFonts w:ascii="Arial" w:cs="Arial" w:eastAsia="Arial" w:hAnsi="Arial"/>
          <w:sz w:val="22"/>
          <w:szCs w:val="22"/>
          <w:color w:val="auto"/>
        </w:rPr>
        <w:t>21 -</w:t>
      </w:r>
    </w:p>
    <w:p>
      <w:pPr>
        <w:sectPr>
          <w:pgSz w:w="11900" w:h="16838" w:orient="portrait"/>
          <w:cols w:equalWidth="0" w:num="1">
            <w:col w:w="11360"/>
          </w:cols>
          <w:pgMar w:left="240" w:top="847" w:right="299" w:bottom="1440" w:gutter="0" w:footer="0" w:header="0"/>
        </w:sectPr>
      </w:pPr>
    </w:p>
    <w:bookmarkStart w:id="83" w:name="page84"/>
    <w:bookmarkEnd w:id="83"/>
    <w:p>
      <w:pPr>
        <w:jc w:val="both"/>
        <w:ind w:right="120"/>
        <w:spacing w:after="0" w:line="253" w:lineRule="auto"/>
        <w:rPr>
          <w:sz w:val="20"/>
          <w:szCs w:val="20"/>
          <w:color w:val="auto"/>
        </w:rPr>
      </w:pPr>
      <w:r>
        <w:rPr>
          <w:rFonts w:ascii="Arial" w:cs="Arial" w:eastAsia="Arial" w:hAnsi="Arial"/>
          <w:sz w:val="22"/>
          <w:szCs w:val="22"/>
          <w:color w:val="auto"/>
        </w:rPr>
        <w:t>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6" w:lineRule="exact"/>
        <w:rPr>
          <w:sz w:val="20"/>
          <w:szCs w:val="20"/>
          <w:color w:val="auto"/>
        </w:rPr>
      </w:pPr>
    </w:p>
    <w:p>
      <w:pPr>
        <w:ind w:left="1100" w:hanging="444"/>
        <w:spacing w:after="0"/>
        <w:tabs>
          <w:tab w:leader="none" w:pos="110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180" w:firstLine="1305"/>
        <w:spacing w:after="0" w:line="260" w:lineRule="auto"/>
        <w:tabs>
          <w:tab w:leader="none" w:pos="1716"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Legal Compliance</w:t>
      </w:r>
      <w:r>
        <w:rPr>
          <w:rFonts w:ascii="Arial" w:cs="Arial" w:eastAsia="Arial" w:hAnsi="Arial"/>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7" w:lineRule="exact"/>
        <w:rPr>
          <w:rFonts w:ascii="Arial" w:cs="Arial" w:eastAsia="Arial" w:hAnsi="Arial"/>
          <w:sz w:val="22"/>
          <w:szCs w:val="22"/>
          <w:color w:val="auto"/>
        </w:rPr>
      </w:pPr>
    </w:p>
    <w:p>
      <w:pPr>
        <w:ind w:right="140" w:firstLine="1305"/>
        <w:spacing w:after="0" w:line="254" w:lineRule="auto"/>
        <w:tabs>
          <w:tab w:leader="none" w:pos="1728"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5" w:lineRule="exact"/>
        <w:rPr>
          <w:rFonts w:ascii="Arial" w:cs="Arial" w:eastAsia="Arial" w:hAnsi="Arial"/>
          <w:sz w:val="22"/>
          <w:szCs w:val="22"/>
          <w:color w:val="auto"/>
        </w:rPr>
      </w:pPr>
    </w:p>
    <w:p>
      <w:pPr>
        <w:ind w:right="180" w:firstLine="656"/>
        <w:spacing w:after="0" w:line="254" w:lineRule="auto"/>
        <w:tabs>
          <w:tab w:leader="none" w:pos="109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Inability to Obtain Authority</w:t>
      </w:r>
      <w:r>
        <w:rPr>
          <w:rFonts w:ascii="Arial" w:cs="Arial" w:eastAsia="Arial" w:hAnsi="Arial"/>
          <w:sz w:val="22"/>
          <w:szCs w:val="22"/>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85" w:lineRule="exact"/>
        <w:rPr>
          <w:rFonts w:ascii="Arial" w:cs="Arial" w:eastAsia="Arial" w:hAnsi="Arial"/>
          <w:sz w:val="22"/>
          <w:szCs w:val="22"/>
          <w:color w:val="auto"/>
        </w:rPr>
      </w:pPr>
    </w:p>
    <w:p>
      <w:pPr>
        <w:ind w:firstLine="656"/>
        <w:spacing w:after="0" w:line="276" w:lineRule="auto"/>
        <w:tabs>
          <w:tab w:leader="none" w:pos="109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Plan and all Awards hereunder shall be construed in accordance with and governed by the laws of the State of New York, but without regard to its conflict of law provisions.</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5600" w:hanging="120"/>
        <w:spacing w:after="0"/>
        <w:tabs>
          <w:tab w:leader="none" w:pos="5600" w:val="left"/>
        </w:tabs>
        <w:numPr>
          <w:ilvl w:val="2"/>
          <w:numId w:val="87"/>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1400"/>
          </w:cols>
          <w:pgMar w:left="240" w:top="847" w:right="25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ind w:left="260" w:right="2340"/>
        <w:spacing w:after="0" w:line="263"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 Jonathan Oringer, certify that:</w:t>
      </w:r>
    </w:p>
    <w:p>
      <w:pPr>
        <w:spacing w:after="0" w:line="194" w:lineRule="exact"/>
        <w:rPr>
          <w:sz w:val="20"/>
          <w:szCs w:val="20"/>
          <w:color w:val="auto"/>
        </w:rPr>
      </w:pPr>
    </w:p>
    <w:p>
      <w:pPr>
        <w:ind w:left="860" w:hanging="528"/>
        <w:spacing w:after="0"/>
        <w:tabs>
          <w:tab w:leader="none" w:pos="8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4" w:lineRule="exact"/>
        <w:rPr>
          <w:rFonts w:ascii="Arial" w:cs="Arial" w:eastAsia="Arial" w:hAnsi="Arial"/>
          <w:sz w:val="16"/>
          <w:szCs w:val="16"/>
          <w:color w:val="auto"/>
        </w:rPr>
      </w:pPr>
    </w:p>
    <w:p>
      <w:pPr>
        <w:ind w:left="340" w:right="400" w:hanging="8"/>
        <w:spacing w:after="0" w:line="310" w:lineRule="auto"/>
        <w:tabs>
          <w:tab w:leader="none" w:pos="8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340" w:right="500" w:hanging="8"/>
        <w:spacing w:after="0" w:line="275" w:lineRule="auto"/>
        <w:tabs>
          <w:tab w:leader="none" w:pos="867"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340" w:right="360" w:hanging="8"/>
        <w:spacing w:after="0" w:line="349" w:lineRule="auto"/>
        <w:tabs>
          <w:tab w:leader="none" w:pos="864"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jc w:val="both"/>
        <w:ind w:left="660" w:right="300" w:hanging="4"/>
        <w:spacing w:after="0" w:line="261" w:lineRule="auto"/>
        <w:tabs>
          <w:tab w:leader="none" w:pos="1178"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jc w:val="both"/>
        <w:ind w:left="660" w:right="400" w:hanging="4"/>
        <w:spacing w:after="0" w:line="261" w:lineRule="auto"/>
        <w:tabs>
          <w:tab w:leader="none" w:pos="1187"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660" w:right="220" w:hanging="4"/>
        <w:spacing w:after="0" w:line="275" w:lineRule="auto"/>
        <w:tabs>
          <w:tab w:leader="none" w:pos="1178"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660" w:right="140" w:hanging="4"/>
        <w:spacing w:after="0" w:line="261" w:lineRule="auto"/>
        <w:tabs>
          <w:tab w:leader="none" w:pos="1187" w:val="left"/>
        </w:tabs>
        <w:numPr>
          <w:ilvl w:val="1"/>
          <w:numId w:val="8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340" w:right="280" w:hanging="8"/>
        <w:spacing w:after="0" w:line="275" w:lineRule="auto"/>
        <w:tabs>
          <w:tab w:leader="none" w:pos="864"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60" w:right="400" w:hanging="4"/>
        <w:spacing w:after="0" w:line="275" w:lineRule="auto"/>
        <w:tabs>
          <w:tab w:leader="none" w:pos="1169"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660" w:right="600" w:hanging="4"/>
        <w:spacing w:after="0" w:line="275" w:lineRule="auto"/>
        <w:tabs>
          <w:tab w:leader="none" w:pos="1178"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6"/>
          <w:szCs w:val="16"/>
          <w:color w:val="auto"/>
        </w:rPr>
        <w:t>Date: August 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Jonathan Oringer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ind w:left="260" w:right="2340"/>
        <w:spacing w:after="0" w:line="263"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 Steven Berns, certify that:</w:t>
      </w:r>
    </w:p>
    <w:p>
      <w:pPr>
        <w:spacing w:after="0" w:line="194" w:lineRule="exact"/>
        <w:rPr>
          <w:sz w:val="20"/>
          <w:szCs w:val="20"/>
          <w:color w:val="auto"/>
        </w:rPr>
      </w:pPr>
    </w:p>
    <w:p>
      <w:pPr>
        <w:ind w:left="860" w:hanging="528"/>
        <w:spacing w:after="0"/>
        <w:tabs>
          <w:tab w:leader="none" w:pos="8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4" w:lineRule="exact"/>
        <w:rPr>
          <w:rFonts w:ascii="Arial" w:cs="Arial" w:eastAsia="Arial" w:hAnsi="Arial"/>
          <w:sz w:val="16"/>
          <w:szCs w:val="16"/>
          <w:color w:val="auto"/>
        </w:rPr>
      </w:pPr>
    </w:p>
    <w:p>
      <w:pPr>
        <w:ind w:left="340" w:right="400" w:hanging="8"/>
        <w:spacing w:after="0" w:line="310" w:lineRule="auto"/>
        <w:tabs>
          <w:tab w:leader="none" w:pos="8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340" w:right="500" w:hanging="8"/>
        <w:spacing w:after="0" w:line="275" w:lineRule="auto"/>
        <w:tabs>
          <w:tab w:leader="none" w:pos="867"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340" w:right="360" w:hanging="8"/>
        <w:spacing w:after="0" w:line="349" w:lineRule="auto"/>
        <w:tabs>
          <w:tab w:leader="none" w:pos="864"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jc w:val="both"/>
        <w:ind w:left="660" w:right="300" w:hanging="4"/>
        <w:spacing w:after="0" w:line="261" w:lineRule="auto"/>
        <w:tabs>
          <w:tab w:leader="none" w:pos="1178"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jc w:val="both"/>
        <w:ind w:left="660" w:right="400" w:hanging="4"/>
        <w:spacing w:after="0" w:line="261" w:lineRule="auto"/>
        <w:tabs>
          <w:tab w:leader="none" w:pos="1187"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660" w:right="220" w:hanging="4"/>
        <w:spacing w:after="0" w:line="275" w:lineRule="auto"/>
        <w:tabs>
          <w:tab w:leader="none" w:pos="1178"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660" w:right="140" w:hanging="4"/>
        <w:spacing w:after="0" w:line="261" w:lineRule="auto"/>
        <w:tabs>
          <w:tab w:leader="none" w:pos="1187" w:val="left"/>
        </w:tabs>
        <w:numPr>
          <w:ilvl w:val="1"/>
          <w:numId w:val="8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340" w:right="280" w:hanging="8"/>
        <w:spacing w:after="0" w:line="275" w:lineRule="auto"/>
        <w:tabs>
          <w:tab w:leader="none" w:pos="86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60" w:right="400" w:hanging="4"/>
        <w:spacing w:after="0" w:line="275" w:lineRule="auto"/>
        <w:tabs>
          <w:tab w:leader="none" w:pos="1169"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660" w:right="600" w:hanging="4"/>
        <w:spacing w:after="0" w:line="275" w:lineRule="auto"/>
        <w:tabs>
          <w:tab w:leader="none" w:pos="1178"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5840" w:val="left"/>
          <w:tab w:leader="none" w:pos="6300" w:val="left"/>
        </w:tabs>
        <w:rPr>
          <w:sz w:val="20"/>
          <w:szCs w:val="20"/>
          <w:color w:val="auto"/>
        </w:rPr>
      </w:pPr>
      <w:r>
        <w:rPr>
          <w:rFonts w:ascii="Arial" w:cs="Arial" w:eastAsia="Arial" w:hAnsi="Arial"/>
          <w:sz w:val="16"/>
          <w:szCs w:val="16"/>
          <w:color w:val="auto"/>
        </w:rPr>
        <w:t>Date: August 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34925</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Steven Berns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420"/>
          </w:cols>
          <w:pgMar w:left="240" w:top="58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180"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In connection with the Quarterly Report on Form 10-Q of Shutterstock, Inc., for the quarterly period ended June 30, 2016 as filed with the Securities and Exchange Commission on the date hereof (the “Report”), I, Jonathan Oringer,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327"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6"/>
          <w:szCs w:val="16"/>
          <w:color w:val="auto"/>
        </w:rPr>
        <w:t>Date: August 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Jonathan Oringer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Chief Executive Officer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pacing w:after="0" w:line="235"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June 30, 2016 as filed with the Securities and Exchange Commission on the date hereof (the “Report”), I, Steven Berns,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92"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6"/>
          <w:szCs w:val="16"/>
          <w:color w:val="auto"/>
        </w:rPr>
        <w:t>Date: August 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Steven Berns</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Chief Financial Officer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x"/>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1)"/>
      <w:numFmt w:val="lowerLetter"/>
      <w:start w:val="2"/>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1."/>
      <w:numFmt w:val="decimal"/>
      <w:start w:val="1"/>
    </w:lvl>
    <w:lvl w:ilvl="1">
      <w:lvlJc w:val="left"/>
      <w:lvlText w:val="%2"/>
      <w:numFmt w:val="upperLetter"/>
      <w:start w:val="1"/>
    </w:lvl>
  </w:abstractNum>
  <w:abstractNum w:abstractNumId="7">
    <w:nsid w:val="32FFF902"/>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2"/>
    </w:lvl>
  </w:abstractNum>
  <w:abstractNum w:abstractNumId="8">
    <w:nsid w:val="684A481A"/>
    <w:multiLevelType w:val="hybridMultilevel"/>
    <w:lvl w:ilvl="0">
      <w:lvlJc w:val="left"/>
      <w:lvlText w:val="%1."/>
      <w:numFmt w:val="upperLetter"/>
      <w:start w:val="2"/>
    </w:lvl>
    <w:lvl w:ilvl="1">
      <w:lvlJc w:val="left"/>
      <w:lvlText w:val="%2."/>
      <w:numFmt w:val="upperLetter"/>
      <w:start w:val="3"/>
    </w:lvl>
    <w:lvl w:ilvl="2">
      <w:lvlJc w:val="left"/>
      <w:lvlText w:val="%3"/>
      <w:numFmt w:val="lowerRoman"/>
      <w:start w:val="1"/>
    </w:lvl>
  </w:abstractNum>
  <w:abstractNum w:abstractNumId="9">
    <w:nsid w:val="579478FE"/>
    <w:multiLevelType w:val="hybridMultilevel"/>
    <w:lvl w:ilvl="0">
      <w:lvlJc w:val="left"/>
      <w:lvlText w:val="%1."/>
      <w:numFmt w:val="decimal"/>
      <w:start w:val="3"/>
    </w:lvl>
  </w:abstractNum>
  <w:abstractNum w:abstractNumId="10">
    <w:nsid w:val="749ABB43"/>
    <w:multiLevelType w:val="hybridMultilevel"/>
    <w:lvl w:ilvl="0">
      <w:lvlJc w:val="left"/>
      <w:lvlText w:val="%1."/>
      <w:numFmt w:val="upperLetter"/>
      <w:start w:val="1"/>
    </w:lvl>
  </w:abstractNum>
  <w:abstractNum w:abstractNumId="11">
    <w:nsid w:val="3DC240FB"/>
    <w:multiLevelType w:val="hybridMultilevel"/>
    <w:lvl w:ilvl="0">
      <w:lvlJc w:val="left"/>
      <w:lvlText w:val="%1."/>
      <w:numFmt w:val="decimal"/>
      <w:start w:val="4"/>
    </w:lvl>
    <w:lvl w:ilvl="1">
      <w:lvlJc w:val="left"/>
      <w:lvlText w:val="%2."/>
      <w:numFmt w:val="upperLetter"/>
      <w:start w:val="1"/>
    </w:lvl>
  </w:abstractNum>
  <w:abstractNum w:abstractNumId="12">
    <w:nsid w:val="1BA026FA"/>
    <w:multiLevelType w:val="hybridMultilevel"/>
    <w:lvl w:ilvl="0">
      <w:lvlJc w:val="left"/>
      <w:lvlText w:val="%1."/>
      <w:numFmt w:val="decimal"/>
      <w:start w:val="1"/>
    </w:lvl>
    <w:lvl w:ilvl="1">
      <w:lvlJc w:val="left"/>
      <w:lvlText w:val="(%2)"/>
      <w:numFmt w:val="lowerLetter"/>
      <w:start w:val="1"/>
    </w:lvl>
  </w:abstractNum>
  <w:abstractNum w:abstractNumId="13">
    <w:nsid w:val="79A1DEAA"/>
    <w:multiLevelType w:val="hybridMultilevel"/>
    <w:lvl w:ilvl="0">
      <w:lvlJc w:val="left"/>
      <w:lvlText w:val="%1."/>
      <w:numFmt w:val="decimal"/>
      <w:start w:val="2"/>
    </w:lvl>
    <w:lvl w:ilvl="1">
      <w:lvlJc w:val="left"/>
      <w:lvlText w:val="(%2)"/>
      <w:numFmt w:val="lowerLetter"/>
      <w:start w:val="1"/>
    </w:lvl>
  </w:abstractNum>
  <w:abstractNum w:abstractNumId="14">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12E685FB"/>
    <w:multiLevelType w:val="hybridMultilevel"/>
    <w:lvl w:ilvl="0">
      <w:lvlJc w:val="left"/>
      <w:lvlText w:val="(%1)"/>
      <w:numFmt w:val="lowerLetter"/>
      <w:start w:val="2"/>
    </w:lvl>
    <w:lvl w:ilvl="1">
      <w:lvlJc w:val="left"/>
      <w:lvlText w:val="(%2)"/>
      <w:numFmt w:val="lowerRoman"/>
      <w:start w:val="1"/>
    </w:lvl>
  </w:abstractNum>
  <w:abstractNum w:abstractNumId="16">
    <w:nsid w:val="70C6A5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17">
    <w:nsid w:val="520EEDD1"/>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8">
    <w:nsid w:val="374A3FE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9">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0">
    <w:nsid w:val="23F9C13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1">
    <w:nsid w:val="649BB77C"/>
    <w:multiLevelType w:val="hybridMultilevel"/>
    <w:lvl w:ilvl="0">
      <w:lvlJc w:val="left"/>
      <w:lvlText w:val="(%1)"/>
      <w:numFmt w:val="lowerLetter"/>
      <w:start w:val="5"/>
    </w:lvl>
    <w:lvl w:ilvl="1">
      <w:lvlJc w:val="left"/>
      <w:lvlText w:val="(%2)"/>
      <w:numFmt w:val="lowerRoman"/>
      <w:start w:val="1"/>
    </w:lvl>
  </w:abstractNum>
  <w:abstractNum w:abstractNumId="22">
    <w:nsid w:val="275AC794"/>
    <w:multiLevelType w:val="hybridMultilevel"/>
    <w:lvl w:ilvl="0">
      <w:lvlJc w:val="left"/>
      <w:lvlText w:val="%1"/>
      <w:numFmt w:val="decimal"/>
      <w:start w:val="1"/>
    </w:lvl>
    <w:lvl w:ilvl="1">
      <w:lvlJc w:val="left"/>
      <w:lvlText w:val="(%2)"/>
      <w:numFmt w:val="lowerLetter"/>
      <w:start w:val="6"/>
    </w:lvl>
  </w:abstractNum>
  <w:abstractNum w:abstractNumId="23">
    <w:nsid w:val="39386575"/>
    <w:multiLevelType w:val="hybridMultilevel"/>
    <w:lvl w:ilvl="0">
      <w:lvlJc w:val="left"/>
      <w:lvlText w:val="%1."/>
      <w:numFmt w:val="decimal"/>
      <w:start w:val="9"/>
    </w:lvl>
    <w:lvl w:ilvl="1">
      <w:lvlJc w:val="left"/>
      <w:lvlText w:val="(%2)"/>
      <w:numFmt w:val="lowerLetter"/>
      <w:start w:val="1"/>
    </w:lvl>
  </w:abstractNum>
  <w:abstractNum w:abstractNumId="24">
    <w:nsid w:val="1CF10FD8"/>
    <w:multiLevelType w:val="hybridMultilevel"/>
    <w:lvl w:ilvl="0">
      <w:lvlJc w:val="left"/>
      <w:lvlText w:val="%1."/>
      <w:numFmt w:val="decimal"/>
      <w:start w:val="10"/>
    </w:lvl>
    <w:lvl w:ilvl="1">
      <w:lvlJc w:val="left"/>
      <w:lvlText w:val="(%2)"/>
      <w:numFmt w:val="lowerLetter"/>
      <w:start w:val="1"/>
    </w:lvl>
  </w:abstractNum>
  <w:abstractNum w:abstractNumId="25">
    <w:nsid w:val="180115BE"/>
    <w:multiLevelType w:val="hybridMultilevel"/>
    <w:lvl w:ilvl="0">
      <w:lvlJc w:val="left"/>
      <w:lvlText w:val="%1"/>
      <w:numFmt w:val="decimal"/>
      <w:start w:val="1"/>
    </w:lvl>
    <w:lvl w:ilvl="1">
      <w:lvlJc w:val="left"/>
      <w:lvlText w:val="(%2)"/>
      <w:numFmt w:val="lowerLetter"/>
      <w:start w:val="3"/>
    </w:lvl>
  </w:abstractNum>
  <w:abstractNum w:abstractNumId="26">
    <w:nsid w:val="235BA861"/>
    <w:multiLevelType w:val="hybridMultilevel"/>
    <w:lvl w:ilvl="0">
      <w:lvlJc w:val="left"/>
      <w:lvlText w:val="%1."/>
      <w:numFmt w:val="decimal"/>
      <w:start w:val="12"/>
    </w:lvl>
    <w:lvl w:ilvl="1">
      <w:lvlJc w:val="left"/>
      <w:lvlText w:val="(%2)"/>
      <w:numFmt w:val="lowerLetter"/>
      <w:start w:val="1"/>
    </w:lvl>
  </w:abstractNum>
  <w:abstractNum w:abstractNumId="27">
    <w:nsid w:val="47398C89"/>
    <w:multiLevelType w:val="hybridMultilevel"/>
    <w:lvl w:ilvl="0">
      <w:lvlJc w:val="left"/>
      <w:lvlText w:val="(%1)"/>
      <w:numFmt w:val="lowerLetter"/>
      <w:start w:val="2"/>
    </w:lvl>
  </w:abstractNum>
  <w:abstractNum w:abstractNumId="28">
    <w:nsid w:val="354FE9F9"/>
    <w:multiLevelType w:val="hybridMultilevel"/>
    <w:lvl w:ilvl="0">
      <w:lvlJc w:val="left"/>
      <w:lvlText w:val="(%1)"/>
      <w:numFmt w:val="lowerLetter"/>
      <w:start w:val="3"/>
    </w:lvl>
    <w:lvl w:ilvl="1">
      <w:lvlJc w:val="left"/>
      <w:lvlText w:val="(%2)"/>
      <w:numFmt w:val="lowerRoman"/>
      <w:start w:val="1"/>
    </w:lvl>
  </w:abstractNum>
  <w:abstractNum w:abstractNumId="29">
    <w:nsid w:val="15B5AF5C"/>
    <w:multiLevelType w:val="hybridMultilevel"/>
    <w:lvl w:ilvl="0">
      <w:lvlJc w:val="left"/>
      <w:lvlText w:val="(%1)"/>
      <w:numFmt w:val="lowerLetter"/>
      <w:start w:val="9"/>
    </w:lvl>
  </w:abstractNum>
  <w:abstractNum w:abstractNumId="30">
    <w:nsid w:val="741226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D34B6A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2">
    <w:nsid w:val="10233C9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33">
    <w:nsid w:val="3F6AB60F"/>
    <w:multiLevelType w:val="hybridMultilevel"/>
    <w:lvl w:ilvl="0">
      <w:lvlJc w:val="left"/>
      <w:lvlText w:val="%1."/>
      <w:numFmt w:val="decimal"/>
      <w:start w:val="6"/>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decimal"/>
      <w:start w:val="1"/>
    </w:lvl>
    <w:lvl w:ilvl="1">
      <w:lvlJc w:val="left"/>
      <w:lvlText w:val="%2."/>
      <w:numFmt w:val="lowerLetter"/>
      <w:start w:val="2"/>
    </w:lvl>
  </w:abstractNum>
  <w:abstractNum w:abstractNumId="36">
    <w:nsid w:val="77AE35EB"/>
    <w:multiLevelType w:val="hybridMultilevel"/>
    <w:lvl w:ilvl="0">
      <w:lvlJc w:val="left"/>
      <w:lvlText w:val="%1."/>
      <w:numFmt w:val="decimal"/>
      <w:start w:val="8"/>
    </w:lvl>
    <w:lvl w:ilvl="1">
      <w:lvlJc w:val="left"/>
      <w:lvlText w:val="%2"/>
      <w:numFmt w:val="lowerLetter"/>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9">
    <w:nsid w:val="5FF87E0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5"/>
    </w:lvl>
  </w:abstractNum>
  <w:abstractNum w:abstractNumId="40">
    <w:nsid w:val="2F305DEF"/>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41">
    <w:nsid w:val="25A70BF7"/>
    <w:multiLevelType w:val="hybridMultilevel"/>
    <w:lvl w:ilvl="0">
      <w:lvlJc w:val="left"/>
      <w:lvlText w:val="%1."/>
      <w:numFmt w:val="decimal"/>
      <w:start w:val="13"/>
    </w:lvl>
  </w:abstractNum>
  <w:abstractNum w:abstractNumId="42">
    <w:nsid w:val="1DBABF00"/>
    <w:multiLevelType w:val="hybridMultilevel"/>
    <w:lvl w:ilvl="0">
      <w:lvlJc w:val="left"/>
      <w:lvlText w:val="%1."/>
      <w:numFmt w:val="decimal"/>
      <w:start w:val="18"/>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decimal"/>
      <w:start w:val="2"/>
    </w:lvl>
    <w:lvl w:ilvl="1">
      <w:lvlJc w:val="left"/>
      <w:lvlText w:val="(%2)"/>
      <w:numFmt w:val="lowerLetter"/>
      <w:start w:val="1"/>
    </w:lvl>
  </w:abstractNum>
  <w:abstractNum w:abstractNumId="45">
    <w:nsid w:val="1381823A"/>
    <w:multiLevelType w:val="hybridMultilevel"/>
    <w:lvl w:ilvl="0">
      <w:lvlJc w:val="left"/>
      <w:lvlText w:val="(%1)"/>
      <w:numFmt w:val="lowerLetter"/>
      <w:start w:val="4"/>
    </w:lvl>
  </w:abstractNum>
  <w:abstractNum w:abstractNumId="46">
    <w:nsid w:val="5DB70AE5"/>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47">
    <w:nsid w:val="100F8FCA"/>
    <w:multiLevelType w:val="hybridMultilevel"/>
    <w:lvl w:ilvl="0">
      <w:lvlJc w:val="left"/>
      <w:lvlText w:val="%1"/>
      <w:numFmt w:val="lowerRoman"/>
      <w:start w:val="1"/>
    </w:lvl>
    <w:lvl w:ilvl="1">
      <w:lvlJc w:val="left"/>
      <w:lvlText w:val="(%2)"/>
      <w:numFmt w:val="decimal"/>
      <w:start w:val="3"/>
    </w:lvl>
  </w:abstractNum>
  <w:abstractNum w:abstractNumId="48">
    <w:nsid w:val="6590700B"/>
    <w:multiLevelType w:val="hybridMultilevel"/>
    <w:lvl w:ilvl="0">
      <w:lvlJc w:val="left"/>
      <w:lvlText w:val="(%1)"/>
      <w:numFmt w:val="lowerRoman"/>
      <w:start w:val="5"/>
    </w:lvl>
    <w:lvl w:ilvl="1">
      <w:lvlJc w:val="left"/>
      <w:lvlText w:val="%2"/>
      <w:numFmt w:val="decimal"/>
      <w:start w:val="1"/>
    </w:lvl>
  </w:abstractNum>
  <w:abstractNum w:abstractNumId="49">
    <w:nsid w:val="15014ACB"/>
    <w:multiLevelType w:val="hybridMultilevel"/>
    <w:lvl w:ilvl="0">
      <w:lvlJc w:val="left"/>
      <w:lvlText w:val="(%1)"/>
      <w:numFmt w:val="lowerLetter"/>
      <w:start w:val="7"/>
    </w:lvl>
    <w:lvl w:ilvl="1">
      <w:lvlJc w:val="left"/>
      <w:lvlText w:val="-"/>
      <w:numFmt w:val="bullet"/>
      <w:start w:val="1"/>
    </w:lvl>
  </w:abstractNum>
  <w:abstractNum w:abstractNumId="50">
    <w:nsid w:val="5F5E7FD0"/>
    <w:multiLevelType w:val="hybridMultilevel"/>
    <w:lvl w:ilvl="0">
      <w:lvlJc w:val="left"/>
      <w:lvlText w:val="%1"/>
      <w:numFmt w:val="lowerLetter"/>
      <w:start w:val="1"/>
    </w:lvl>
    <w:lvl w:ilvl="1">
      <w:lvlJc w:val="left"/>
      <w:lvlText w:val="(%2)"/>
      <w:numFmt w:val="lowerLetter"/>
      <w:start w:val="15"/>
    </w:lvl>
    <w:lvl w:ilvl="2">
      <w:lvlJc w:val="left"/>
      <w:lvlText w:val="%3"/>
      <w:numFmt w:val="lowerRoman"/>
      <w:start w:val="1"/>
    </w:lvl>
    <w:lvl w:ilvl="3">
      <w:lvlJc w:val="left"/>
      <w:lvlText w:val="-"/>
      <w:numFmt w:val="bullet"/>
      <w:start w:val="1"/>
    </w:lvl>
  </w:abstractNum>
  <w:abstractNum w:abstractNumId="51">
    <w:nsid w:val="98A314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2">
    <w:nsid w:val="799D0247"/>
    <w:multiLevelType w:val="hybridMultilevel"/>
    <w:lvl w:ilvl="0">
      <w:lvlJc w:val="left"/>
      <w:lvlText w:val="(%1)."/>
      <w:numFmt w:val="lowerLetter"/>
      <w:start w:val="61"/>
    </w:lvl>
    <w:lvl w:ilvl="1">
      <w:lvlJc w:val="left"/>
      <w:lvlText w:val="(%2)"/>
      <w:numFmt w:val="lowerLetter"/>
      <w:start w:val="17"/>
    </w:lvl>
    <w:lvl w:ilvl="2">
      <w:lvlJc w:val="left"/>
      <w:lvlText w:val="(%3)"/>
      <w:numFmt w:val="lowerRoman"/>
      <w:start w:val="1"/>
    </w:lvl>
    <w:lvl w:ilvl="3">
      <w:lvlJc w:val="left"/>
      <w:lvlText w:val="-"/>
      <w:numFmt w:val="bullet"/>
      <w:start w:val="1"/>
    </w:lvl>
  </w:abstractNum>
  <w:abstractNum w:abstractNumId="53">
    <w:nsid w:val="6B94764"/>
    <w:multiLevelType w:val="hybridMultilevel"/>
    <w:lvl w:ilvl="0">
      <w:lvlJc w:val="left"/>
      <w:lvlText w:val="(%1)"/>
      <w:numFmt w:val="lowerLetter"/>
      <w:start w:val="21"/>
    </w:lvl>
  </w:abstractNum>
  <w:abstractNum w:abstractNumId="54">
    <w:nsid w:val="42C296BD"/>
    <w:multiLevelType w:val="hybridMultilevel"/>
    <w:lvl w:ilvl="0">
      <w:lvlJc w:val="left"/>
      <w:lvlText w:val="(%1)"/>
      <w:numFmt w:val="lowerLetter"/>
      <w:start w:val="28"/>
    </w:lvl>
    <w:lvl w:ilvl="1">
      <w:lvlJc w:val="left"/>
      <w:lvlText w:val="-"/>
      <w:numFmt w:val="bullet"/>
      <w:start w:val="1"/>
    </w:lvl>
  </w:abstractNum>
  <w:abstractNum w:abstractNumId="55">
    <w:nsid w:val="168E121F"/>
    <w:multiLevelType w:val="hybridMultilevel"/>
    <w:lvl w:ilvl="0">
      <w:lvlJc w:val="left"/>
      <w:lvlText w:val="%1"/>
      <w:numFmt w:val="decimal"/>
      <w:start w:val="1"/>
    </w:lvl>
    <w:lvl w:ilvl="1">
      <w:lvlJc w:val="left"/>
      <w:lvlText w:val="(%2)"/>
      <w:numFmt w:val="lowerLetter"/>
      <w:start w:val="34"/>
    </w:lvl>
    <w:lvl w:ilvl="2">
      <w:lvlJc w:val="left"/>
      <w:lvlText w:val="-"/>
      <w:numFmt w:val="bullet"/>
      <w:start w:val="1"/>
    </w:lvl>
  </w:abstractNum>
  <w:abstractNum w:abstractNumId="56">
    <w:nsid w:val="1EBA5D23"/>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7">
    <w:nsid w:val="661E3F1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58">
    <w:nsid w:val="5DC79E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9">
    <w:nsid w:val="540A47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60">
    <w:nsid w:val="7BD3EE7B"/>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61">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lvl w:ilvl="3">
      <w:lvlJc w:val="left"/>
      <w:lvlText w:val="-"/>
      <w:numFmt w:val="bullet"/>
      <w:start w:val="1"/>
    </w:lvl>
  </w:abstractNum>
  <w:abstractNum w:abstractNumId="62">
    <w:nsid w:val="613EFDC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63">
    <w:nsid w:val="BF72B1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4">
    <w:nsid w:val="11447B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lvl w:ilvl="4">
      <w:lvlJc w:val="left"/>
      <w:lvlText w:val="-"/>
      <w:numFmt w:val="bullet"/>
      <w:start w:val="1"/>
    </w:lvl>
  </w:abstractNum>
  <w:abstractNum w:abstractNumId="65">
    <w:nsid w:val="42963E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lvl w:ilvl="4">
      <w:lvlJc w:val="left"/>
      <w:lvlText w:val="-"/>
      <w:numFmt w:val="bullet"/>
      <w:start w:val="1"/>
    </w:lvl>
  </w:abstractNum>
  <w:abstractNum w:abstractNumId="66">
    <w:nsid w:val="A0382C5"/>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Letter"/>
      <w:start w:val="1"/>
    </w:lvl>
    <w:lvl w:ilvl="4">
      <w:lvlJc w:val="left"/>
      <w:lvlText w:val="-"/>
      <w:numFmt w:val="bullet"/>
      <w:start w:val="1"/>
    </w:lvl>
  </w:abstractNum>
  <w:abstractNum w:abstractNumId="67">
    <w:nsid w:val="8F2B15E"/>
    <w:multiLevelType w:val="hybridMultilevel"/>
    <w:lvl w:ilvl="0">
      <w:lvlJc w:val="left"/>
      <w:lvlText w:val="(%1)"/>
      <w:numFmt w:val="decimal"/>
      <w:start w:val="10"/>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
      <w:numFmt w:val="bullet"/>
      <w:start w:val="1"/>
    </w:lvl>
  </w:abstractNum>
  <w:abstractNum w:abstractNumId="68">
    <w:nsid w:val="1A32234B"/>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69">
    <w:nsid w:val="3B0FD379"/>
    <w:multiLevelType w:val="hybridMultilevel"/>
    <w:lvl w:ilvl="0">
      <w:lvlJc w:val="left"/>
      <w:lvlText w:val="(%1)"/>
      <w:numFmt w:val="lowerLetter"/>
      <w:start w:val="4"/>
    </w:lvl>
    <w:lvl w:ilvl="1">
      <w:lvlJc w:val="left"/>
      <w:lvlText w:val="(%2)"/>
      <w:numFmt w:val="lowerLetter"/>
      <w:start w:val="9"/>
    </w:lvl>
  </w:abstractNum>
  <w:abstractNum w:abstractNumId="70">
    <w:nsid w:val="68EB2F63"/>
    <w:multiLevelType w:val="hybridMultilevel"/>
    <w:lvl w:ilvl="0">
      <w:lvlJc w:val="left"/>
      <w:lvlText w:val="(%1)"/>
      <w:numFmt w:val="lowerRoman"/>
      <w:start w:val="2"/>
    </w:lvl>
    <w:lvl w:ilvl="1">
      <w:lvlJc w:val="left"/>
      <w:lvlText w:val="-"/>
      <w:numFmt w:val="bullet"/>
      <w:start w:val="1"/>
    </w:lvl>
  </w:abstractNum>
  <w:abstractNum w:abstractNumId="71">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72">
    <w:nsid w:val="60B6DF7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3">
    <w:nsid w:val="6A5EE64"/>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74">
    <w:nsid w:val="14330624"/>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75">
    <w:nsid w:val="7FFFCA11"/>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76">
    <w:nsid w:val="1A27709E"/>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77">
    <w:nsid w:val="71EA110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8">
    <w:nsid w:val="100F59DC"/>
    <w:multiLevelType w:val="hybridMultilevel"/>
    <w:lvl w:ilvl="0">
      <w:lvlJc w:val="left"/>
      <w:lvlText w:val="(%1)"/>
      <w:numFmt w:val="lowerRoman"/>
      <w:start w:val="2"/>
    </w:lvl>
    <w:lvl w:ilvl="1">
      <w:lvlJc w:val="left"/>
      <w:lvlText w:val="%2"/>
      <w:numFmt w:val="lowerRoman"/>
      <w:start w:val="1"/>
    </w:lvl>
    <w:lvl w:ilvl="2">
      <w:lvlJc w:val="left"/>
      <w:lvlText w:val="-"/>
      <w:numFmt w:val="bullet"/>
      <w:start w:val="1"/>
    </w:lvl>
  </w:abstractNum>
  <w:abstractNum w:abstractNumId="79">
    <w:nsid w:val="7FB7E0AA"/>
    <w:multiLevelType w:val="hybridMultilevel"/>
    <w:lvl w:ilvl="0">
      <w:lvlJc w:val="left"/>
      <w:lvlText w:val="(%1)"/>
      <w:numFmt w:val="lowerRoman"/>
      <w:start w:val="4"/>
    </w:lvl>
    <w:lvl w:ilvl="1">
      <w:lvlJc w:val="left"/>
      <w:lvlText w:val="(%2)"/>
      <w:numFmt w:val="lowerRoman"/>
      <w:start w:val="2"/>
    </w:lvl>
    <w:lvl w:ilvl="2">
      <w:lvlJc w:val="left"/>
      <w:lvlText w:val="-"/>
      <w:numFmt w:val="bullet"/>
      <w:start w:val="1"/>
    </w:lvl>
  </w:abstractNum>
  <w:abstractNum w:abstractNumId="80">
    <w:nsid w:val="6EB5BD4"/>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81">
    <w:nsid w:val="6F6DD9AC"/>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82">
    <w:nsid w:val="94211F2"/>
    <w:multiLevelType w:val="hybridMultilevel"/>
    <w:lvl w:ilvl="0">
      <w:lvlJc w:val="left"/>
      <w:lvlText w:val="%1."/>
      <w:numFmt w:val="decimal"/>
      <w:start w:val="13"/>
    </w:lvl>
    <w:lvl w:ilvl="1">
      <w:lvlJc w:val="left"/>
      <w:lvlText w:val="(%2)"/>
      <w:numFmt w:val="lowerLetter"/>
      <w:start w:val="1"/>
    </w:lvl>
  </w:abstractNum>
  <w:abstractNum w:abstractNumId="83">
    <w:nsid w:val="885E1B"/>
    <w:multiLevelType w:val="hybridMultilevel"/>
    <w:lvl w:ilvl="0">
      <w:lvlJc w:val="left"/>
      <w:lvlText w:val="%1."/>
      <w:numFmt w:val="decimal"/>
      <w:start w:val="14"/>
    </w:lvl>
    <w:lvl w:ilvl="1">
      <w:lvlJc w:val="left"/>
      <w:lvlText w:val="(%2)"/>
      <w:numFmt w:val="lowerLetter"/>
      <w:start w:val="1"/>
    </w:lvl>
  </w:abstractNum>
  <w:abstractNum w:abstractNumId="84">
    <w:nsid w:val="76272110"/>
    <w:multiLevelType w:val="hybridMultilevel"/>
    <w:lvl w:ilvl="0">
      <w:lvlJc w:val="left"/>
      <w:lvlText w:val="(%1)"/>
      <w:numFmt w:val="lowerLetter"/>
      <w:start w:val="3"/>
    </w:lvl>
    <w:lvl w:ilvl="1">
      <w:lvlJc w:val="left"/>
      <w:lvlText w:val="-"/>
      <w:numFmt w:val="bullet"/>
      <w:start w:val="1"/>
    </w:lvl>
  </w:abstractNum>
  <w:abstractNum w:abstractNumId="85">
    <w:nsid w:val="4C04A8AF"/>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86">
    <w:nsid w:val="1716703B"/>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2019-12-29T10:20:50Z</dcterms:created>
  <dcterms:modified xsi:type="dcterms:W3CDTF">2019-12-29T10:20:50Z</dcterms:modified>
</cp:coreProperties>
</file>