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Bhasin Rachna</w:t>
              </w:r>
            </w:hyperlink>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Shutterstock,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SSTK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23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06/10/2025</w:t>
            </w:r>
          </w:p>
        </w:tc>
        <w:tc>
          <w:tcPr>
            <w:tcW w:w="2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SHUTTERSTOCK, INC.</w:t>
            </w:r>
          </w:p>
        </w:tc>
        <w:tc>
          <w:tcPr>
            <w:tcW w:w="138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350 FIFTH AVENUE, 20TH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10118</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06/10/2025</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9,700</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9,700</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9,700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6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 granted on June 10, 2025 that vests in full on the earlier of June 10, 2026, or the date immediately preceding the 2026 Annual Meeting of Shareholders, subject to the Reporting Person's continued service on such vesting date.</w:t>
      </w:r>
    </w:p>
    <w:p>
      <w:pPr>
        <w:spacing w:after="0" w:line="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John Lapham,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69363" TargetMode="External"/><Relationship Id="rId14"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2025-06-12T15:31:47Z</dcterms:created>
  <dcterms:modified xsi:type="dcterms:W3CDTF">2025-06-12T15:31:47Z</dcterms:modified>
</cp:coreProperties>
</file>