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August 10, 2020</w:t>
      </w:r>
    </w:p>
    <w:p>
      <w:pPr>
        <w:spacing w:after="0" w:line="2" w:lineRule="exact"/>
        <w:rPr>
          <w:sz w:val="24"/>
          <w:szCs w:val="24"/>
          <w:color w:val="auto"/>
        </w:rPr>
      </w:pPr>
    </w:p>
    <w:p>
      <w:pPr>
        <w:ind w:left="92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46355</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88265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63"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S-3</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81915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3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Shutterstock, Inc.</w:t>
      </w:r>
    </w:p>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71755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1" w:lineRule="exact"/>
        <w:rPr>
          <w:sz w:val="24"/>
          <w:szCs w:val="24"/>
          <w:color w:val="auto"/>
        </w:rPr>
      </w:pPr>
    </w:p>
    <w:p>
      <w:pPr>
        <w:ind w:left="1740"/>
        <w:spacing w:after="0"/>
        <w:tabs>
          <w:tab w:leader="none" w:pos="898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80-0812659</w:t>
      </w:r>
    </w:p>
    <w:p>
      <w:pPr>
        <w:ind w:left="1120"/>
        <w:spacing w:after="0"/>
        <w:tabs>
          <w:tab w:leader="none" w:pos="88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080"/>
        <w:spacing w:after="0"/>
        <w:tabs>
          <w:tab w:leader="none" w:pos="860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Number)</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350 Fifth Avenue, 21st Floor</w:t>
      </w:r>
    </w:p>
    <w:p>
      <w:pPr>
        <w:jc w:val="center"/>
        <w:ind w:right="-179"/>
        <w:spacing w:after="0" w:line="222" w:lineRule="auto"/>
        <w:rPr>
          <w:sz w:val="20"/>
          <w:szCs w:val="20"/>
          <w:color w:val="auto"/>
        </w:rPr>
      </w:pPr>
      <w:r>
        <w:rPr>
          <w:rFonts w:ascii="Arial" w:cs="Arial" w:eastAsia="Arial" w:hAnsi="Arial"/>
          <w:sz w:val="14"/>
          <w:szCs w:val="14"/>
          <w:b w:val="1"/>
          <w:bCs w:val="1"/>
          <w:color w:val="auto"/>
        </w:rPr>
        <w:t>New York, NY 10118</w:t>
      </w:r>
    </w:p>
    <w:p>
      <w:pPr>
        <w:jc w:val="center"/>
        <w:ind w:right="-179"/>
        <w:spacing w:after="0" w:line="219" w:lineRule="auto"/>
        <w:rPr>
          <w:sz w:val="20"/>
          <w:szCs w:val="20"/>
          <w:color w:val="auto"/>
        </w:rPr>
      </w:pPr>
      <w:r>
        <w:rPr>
          <w:rFonts w:ascii="Arial" w:cs="Arial" w:eastAsia="Arial" w:hAnsi="Arial"/>
          <w:sz w:val="14"/>
          <w:szCs w:val="14"/>
          <w:b w:val="1"/>
          <w:bCs w:val="1"/>
          <w:color w:val="auto"/>
        </w:rPr>
        <w:t>(646) 710-3417</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71755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Heidi Garfield</w:t>
      </w:r>
    </w:p>
    <w:p>
      <w:pPr>
        <w:jc w:val="center"/>
        <w:ind w:right="-179"/>
        <w:spacing w:after="0" w:line="222" w:lineRule="auto"/>
        <w:rPr>
          <w:sz w:val="20"/>
          <w:szCs w:val="20"/>
          <w:color w:val="auto"/>
        </w:rPr>
      </w:pPr>
      <w:r>
        <w:rPr>
          <w:rFonts w:ascii="Arial" w:cs="Arial" w:eastAsia="Arial" w:hAnsi="Arial"/>
          <w:sz w:val="14"/>
          <w:szCs w:val="14"/>
          <w:b w:val="1"/>
          <w:bCs w:val="1"/>
          <w:color w:val="auto"/>
        </w:rPr>
        <w:t>General Counsel and Corporate Secretary</w:t>
      </w:r>
    </w:p>
    <w:p>
      <w:pPr>
        <w:jc w:val="center"/>
        <w:ind w:right="-179"/>
        <w:spacing w:after="0" w:line="219" w:lineRule="auto"/>
        <w:rPr>
          <w:sz w:val="20"/>
          <w:szCs w:val="20"/>
          <w:color w:val="auto"/>
        </w:rPr>
      </w:pPr>
      <w:r>
        <w:rPr>
          <w:rFonts w:ascii="Arial" w:cs="Arial" w:eastAsia="Arial" w:hAnsi="Arial"/>
          <w:sz w:val="14"/>
          <w:szCs w:val="14"/>
          <w:b w:val="1"/>
          <w:bCs w:val="1"/>
          <w:color w:val="auto"/>
        </w:rPr>
        <w:t>350 Fifth Avenue, 21st Floor</w:t>
      </w:r>
    </w:p>
    <w:p>
      <w:pPr>
        <w:jc w:val="center"/>
        <w:ind w:right="-179"/>
        <w:spacing w:after="0" w:line="220" w:lineRule="auto"/>
        <w:rPr>
          <w:sz w:val="20"/>
          <w:szCs w:val="20"/>
          <w:color w:val="auto"/>
        </w:rPr>
      </w:pPr>
      <w:r>
        <w:rPr>
          <w:rFonts w:ascii="Arial" w:cs="Arial" w:eastAsia="Arial" w:hAnsi="Arial"/>
          <w:sz w:val="14"/>
          <w:szCs w:val="14"/>
          <w:b w:val="1"/>
          <w:bCs w:val="1"/>
          <w:color w:val="auto"/>
        </w:rPr>
        <w:t>New York, NY 10118</w:t>
      </w:r>
    </w:p>
    <w:p>
      <w:pPr>
        <w:jc w:val="center"/>
        <w:ind w:right="-179"/>
        <w:spacing w:after="0" w:line="219" w:lineRule="auto"/>
        <w:rPr>
          <w:sz w:val="20"/>
          <w:szCs w:val="20"/>
          <w:color w:val="auto"/>
        </w:rPr>
      </w:pPr>
      <w:r>
        <w:rPr>
          <w:rFonts w:ascii="Arial" w:cs="Arial" w:eastAsia="Arial" w:hAnsi="Arial"/>
          <w:sz w:val="14"/>
          <w:szCs w:val="14"/>
          <w:b w:val="1"/>
          <w:bCs w:val="1"/>
          <w:color w:val="auto"/>
        </w:rPr>
        <w:t>(646) 710-3417</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80645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5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i w:val="1"/>
          <w:iCs w:val="1"/>
          <w:color w:val="auto"/>
        </w:rPr>
        <w:t>With copies to:</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Steven G. Scheinfeld</w:t>
      </w:r>
    </w:p>
    <w:p>
      <w:pPr>
        <w:jc w:val="center"/>
        <w:ind w:right="-179"/>
        <w:spacing w:after="0" w:line="222" w:lineRule="auto"/>
        <w:rPr>
          <w:sz w:val="20"/>
          <w:szCs w:val="20"/>
          <w:color w:val="auto"/>
        </w:rPr>
      </w:pPr>
      <w:r>
        <w:rPr>
          <w:rFonts w:ascii="Arial" w:cs="Arial" w:eastAsia="Arial" w:hAnsi="Arial"/>
          <w:sz w:val="14"/>
          <w:szCs w:val="14"/>
          <w:b w:val="1"/>
          <w:bCs w:val="1"/>
          <w:color w:val="auto"/>
        </w:rPr>
        <w:t>Andrew B. Barkan</w:t>
      </w:r>
    </w:p>
    <w:p>
      <w:pPr>
        <w:jc w:val="center"/>
        <w:ind w:right="-179"/>
        <w:spacing w:after="0" w:line="219" w:lineRule="auto"/>
        <w:rPr>
          <w:sz w:val="20"/>
          <w:szCs w:val="20"/>
          <w:color w:val="auto"/>
        </w:rPr>
      </w:pPr>
      <w:r>
        <w:rPr>
          <w:rFonts w:ascii="Arial" w:cs="Arial" w:eastAsia="Arial" w:hAnsi="Arial"/>
          <w:sz w:val="14"/>
          <w:szCs w:val="14"/>
          <w:b w:val="1"/>
          <w:bCs w:val="1"/>
          <w:color w:val="auto"/>
        </w:rPr>
        <w:t>Fried, Frank, Harris, Shriver &amp; Jacobson LLP</w:t>
      </w:r>
    </w:p>
    <w:p>
      <w:pPr>
        <w:jc w:val="center"/>
        <w:ind w:right="-179"/>
        <w:spacing w:after="0" w:line="220" w:lineRule="auto"/>
        <w:rPr>
          <w:sz w:val="20"/>
          <w:szCs w:val="20"/>
          <w:color w:val="auto"/>
        </w:rPr>
      </w:pPr>
      <w:r>
        <w:rPr>
          <w:rFonts w:ascii="Arial" w:cs="Arial" w:eastAsia="Arial" w:hAnsi="Arial"/>
          <w:sz w:val="14"/>
          <w:szCs w:val="14"/>
          <w:b w:val="1"/>
          <w:bCs w:val="1"/>
          <w:color w:val="auto"/>
        </w:rPr>
        <w:t>One New York Plaza</w:t>
      </w:r>
    </w:p>
    <w:p>
      <w:pPr>
        <w:jc w:val="center"/>
        <w:ind w:right="-179"/>
        <w:spacing w:after="0" w:line="219" w:lineRule="auto"/>
        <w:rPr>
          <w:sz w:val="20"/>
          <w:szCs w:val="20"/>
          <w:color w:val="auto"/>
        </w:rPr>
      </w:pPr>
      <w:r>
        <w:rPr>
          <w:rFonts w:ascii="Arial" w:cs="Arial" w:eastAsia="Arial" w:hAnsi="Arial"/>
          <w:sz w:val="14"/>
          <w:szCs w:val="14"/>
          <w:b w:val="1"/>
          <w:bCs w:val="1"/>
          <w:color w:val="auto"/>
        </w:rPr>
        <w:t>New York, New York 10004</w:t>
      </w:r>
    </w:p>
    <w:p>
      <w:pPr>
        <w:jc w:val="center"/>
        <w:ind w:right="-179"/>
        <w:spacing w:after="0"/>
        <w:rPr>
          <w:sz w:val="20"/>
          <w:szCs w:val="20"/>
          <w:color w:val="auto"/>
        </w:rPr>
      </w:pPr>
      <w:r>
        <w:rPr>
          <w:rFonts w:ascii="Arial" w:cs="Arial" w:eastAsia="Arial" w:hAnsi="Arial"/>
          <w:sz w:val="14"/>
          <w:szCs w:val="14"/>
          <w:b w:val="1"/>
          <w:bCs w:val="1"/>
          <w:color w:val="auto"/>
        </w:rPr>
        <w:t>(212) 859-8000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71755</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37" w:lineRule="exact"/>
        <w:rPr>
          <w:sz w:val="24"/>
          <w:szCs w:val="24"/>
          <w:color w:val="auto"/>
        </w:rPr>
      </w:pPr>
    </w:p>
    <w:p>
      <w:pPr>
        <w:ind w:left="1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30" w:lineRule="exact"/>
        <w:rPr>
          <w:sz w:val="24"/>
          <w:szCs w:val="24"/>
          <w:color w:val="auto"/>
        </w:rPr>
      </w:pPr>
    </w:p>
    <w:p>
      <w:pPr>
        <w:ind w:left="16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0" w:lineRule="exact"/>
        <w:rPr>
          <w:sz w:val="24"/>
          <w:szCs w:val="24"/>
          <w:color w:val="auto"/>
        </w:rPr>
      </w:pPr>
    </w:p>
    <w:p>
      <w:pPr>
        <w:ind w:left="160" w:right="280"/>
        <w:spacing w:after="0" w:line="179"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320"/>
        <w:spacing w:after="0" w:line="17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340"/>
        <w:spacing w:after="0" w:line="17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spacing w:after="0" w:line="179"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80"/>
        <w:spacing w:after="0" w:line="179"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22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229" w:right="499" w:bottom="1440" w:gutter="0" w:footer="0" w:header="0"/>
        </w:sectPr>
      </w:pPr>
    </w:p>
    <w:p>
      <w:pPr>
        <w:spacing w:after="0" w:line="13" w:lineRule="exact"/>
        <w:rPr>
          <w:sz w:val="24"/>
          <w:szCs w:val="24"/>
          <w:color w:val="auto"/>
        </w:rPr>
      </w:pPr>
    </w:p>
    <w:p>
      <w:pPr>
        <w:ind w:left="160"/>
        <w:spacing w:after="0" w:line="161" w:lineRule="exact"/>
        <w:tabs>
          <w:tab w:leader="none" w:pos="1800" w:val="left"/>
          <w:tab w:leader="none" w:pos="89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39" w:lineRule="exact"/>
        <w:rPr>
          <w:sz w:val="24"/>
          <w:szCs w:val="24"/>
          <w:color w:val="auto"/>
        </w:rPr>
      </w:pPr>
    </w:p>
    <w:p>
      <w:pPr>
        <w:ind w:left="160"/>
        <w:spacing w:after="0" w:line="161" w:lineRule="exact"/>
        <w:tabs>
          <w:tab w:leader="none" w:pos="1800" w:val="left"/>
          <w:tab w:leader="none" w:pos="89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3" w:lineRule="exact"/>
        <w:rPr>
          <w:sz w:val="24"/>
          <w:szCs w:val="24"/>
          <w:color w:val="auto"/>
        </w:rPr>
      </w:pPr>
    </w:p>
    <w:p>
      <w:pPr>
        <w:ind w:left="8920"/>
        <w:spacing w:after="0"/>
        <w:rPr>
          <w:sz w:val="20"/>
          <w:szCs w:val="20"/>
          <w:color w:val="auto"/>
        </w:rPr>
      </w:pPr>
      <w:r>
        <w:rPr>
          <w:rFonts w:ascii="Arial" w:cs="Arial" w:eastAsia="Arial" w:hAnsi="Arial"/>
          <w:sz w:val="14"/>
          <w:szCs w:val="14"/>
          <w:color w:val="auto"/>
        </w:rPr>
        <w:t>Emerging growth company</w:t>
      </w:r>
    </w:p>
    <w:p>
      <w:pPr>
        <w:spacing w:after="0" w:line="54" w:lineRule="exact"/>
        <w:rPr>
          <w:sz w:val="24"/>
          <w:szCs w:val="24"/>
          <w:color w:val="auto"/>
        </w:rPr>
      </w:pPr>
    </w:p>
    <w:p>
      <w:pPr>
        <w:ind w:left="160"/>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65405</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27" w:lineRule="exact"/>
        <w:rPr>
          <w:sz w:val="24"/>
          <w:szCs w:val="24"/>
          <w:color w:val="auto"/>
        </w:rPr>
      </w:pPr>
    </w:p>
    <w:p>
      <w:pPr>
        <w:jc w:val="center"/>
        <w:ind w:left="52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134" w:lineRule="exact"/>
        <w:rPr>
          <w:sz w:val="20"/>
          <w:szCs w:val="20"/>
          <w:color w:val="auto"/>
        </w:rPr>
      </w:pPr>
      <w:r>
        <w:rPr>
          <w:rFonts w:ascii="MS PGothic" w:cs="MS PGothic" w:eastAsia="MS PGothic" w:hAnsi="MS PGothic"/>
          <w:sz w:val="14"/>
          <w:szCs w:val="14"/>
          <w:color w:val="auto"/>
        </w:rPr>
        <w:t>☐</w:t>
      </w:r>
    </w:p>
    <w:p>
      <w:pPr>
        <w:spacing w:after="0" w:line="6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88" w:lineRule="exact"/>
        <w:rPr>
          <w:sz w:val="24"/>
          <w:szCs w:val="24"/>
          <w:color w:val="auto"/>
        </w:rPr>
      </w:pPr>
    </w:p>
    <w:p>
      <w:pPr>
        <w:sectPr>
          <w:pgSz w:w="11900" w:h="16838" w:orient="portrait"/>
          <w:cols w:equalWidth="0" w:num="2">
            <w:col w:w="10740" w:space="120"/>
            <w:col w:w="220"/>
          </w:cols>
          <w:pgMar w:left="320" w:top="229" w:right="499" w:bottom="1440" w:gutter="0" w:footer="0" w:header="0"/>
          <w:type w:val="continuous"/>
        </w:sectPr>
      </w:pPr>
    </w:p>
    <w:tbl>
      <w:tblPr>
        <w:tblLayout w:type="fixed"/>
        <w:tblInd w:w="1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38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ind w:left="29"/>
              <w:spacing w:after="0"/>
              <w:rPr>
                <w:sz w:val="20"/>
                <w:szCs w:val="20"/>
                <w:color w:val="auto"/>
              </w:rPr>
            </w:pPr>
            <w:r>
              <w:rPr>
                <w:rFonts w:ascii="Arial" w:cs="Arial" w:eastAsia="Arial" w:hAnsi="Arial"/>
                <w:sz w:val="14"/>
                <w:szCs w:val="14"/>
                <w:b w:val="1"/>
                <w:bCs w:val="1"/>
                <w:color w:val="auto"/>
                <w:w w:val="94"/>
              </w:rPr>
              <w:t>Amount</w:t>
            </w:r>
          </w:p>
        </w:tc>
        <w:tc>
          <w:tcPr>
            <w:tcW w:w="1640" w:type="dxa"/>
            <w:vAlign w:val="bottom"/>
            <w:tcBorders>
              <w:right w:val="single" w:sz="8" w:color="auto"/>
            </w:tcBorders>
          </w:tcPr>
          <w:p>
            <w:pPr>
              <w:jc w:val="center"/>
              <w:ind w:left="11"/>
              <w:spacing w:after="0" w:line="105" w:lineRule="exact"/>
              <w:rPr>
                <w:sz w:val="20"/>
                <w:szCs w:val="20"/>
                <w:color w:val="auto"/>
              </w:rPr>
            </w:pPr>
            <w:r>
              <w:rPr>
                <w:rFonts w:ascii="Arial" w:cs="Arial" w:eastAsia="Arial" w:hAnsi="Arial"/>
                <w:sz w:val="12"/>
                <w:szCs w:val="12"/>
                <w:b w:val="1"/>
                <w:bCs w:val="1"/>
                <w:color w:val="auto"/>
              </w:rPr>
              <w:t>Proposed</w:t>
            </w:r>
          </w:p>
        </w:tc>
        <w:tc>
          <w:tcPr>
            <w:tcW w:w="1620" w:type="dxa"/>
            <w:vAlign w:val="bottom"/>
            <w:tcBorders>
              <w:right w:val="single" w:sz="8" w:color="auto"/>
            </w:tcBorders>
          </w:tcPr>
          <w:p>
            <w:pPr>
              <w:jc w:val="center"/>
              <w:ind w:left="11"/>
              <w:spacing w:after="0" w:line="105" w:lineRule="exact"/>
              <w:rPr>
                <w:sz w:val="20"/>
                <w:szCs w:val="20"/>
                <w:color w:val="auto"/>
              </w:rPr>
            </w:pPr>
            <w:r>
              <w:rPr>
                <w:rFonts w:ascii="Arial" w:cs="Arial" w:eastAsia="Arial" w:hAnsi="Arial"/>
                <w:sz w:val="12"/>
                <w:szCs w:val="12"/>
                <w:b w:val="1"/>
                <w:bCs w:val="1"/>
                <w:color w:val="auto"/>
              </w:rPr>
              <w:t>Proposed</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Title of each class of</w:t>
            </w:r>
          </w:p>
        </w:tc>
        <w:tc>
          <w:tcPr>
            <w:tcW w:w="16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ind w:left="11"/>
              <w:spacing w:after="0" w:line="147" w:lineRule="exact"/>
              <w:rPr>
                <w:sz w:val="20"/>
                <w:szCs w:val="20"/>
                <w:color w:val="auto"/>
              </w:rPr>
            </w:pPr>
            <w:r>
              <w:rPr>
                <w:rFonts w:ascii="Arial" w:cs="Arial" w:eastAsia="Arial" w:hAnsi="Arial"/>
                <w:sz w:val="14"/>
                <w:szCs w:val="14"/>
                <w:b w:val="1"/>
                <w:bCs w:val="1"/>
                <w:color w:val="auto"/>
                <w:w w:val="99"/>
              </w:rPr>
              <w:t>Maximum</w:t>
            </w:r>
          </w:p>
        </w:tc>
        <w:tc>
          <w:tcPr>
            <w:tcW w:w="1620" w:type="dxa"/>
            <w:vAlign w:val="bottom"/>
            <w:tcBorders>
              <w:right w:val="single" w:sz="8" w:color="auto"/>
            </w:tcBorders>
          </w:tcPr>
          <w:p>
            <w:pPr>
              <w:jc w:val="center"/>
              <w:ind w:left="11"/>
              <w:spacing w:after="0" w:line="147" w:lineRule="exact"/>
              <w:rPr>
                <w:sz w:val="20"/>
                <w:szCs w:val="20"/>
                <w:color w:val="auto"/>
              </w:rPr>
            </w:pPr>
            <w:r>
              <w:rPr>
                <w:rFonts w:ascii="Arial" w:cs="Arial" w:eastAsia="Arial" w:hAnsi="Arial"/>
                <w:sz w:val="14"/>
                <w:szCs w:val="14"/>
                <w:b w:val="1"/>
                <w:bCs w:val="1"/>
                <w:color w:val="auto"/>
                <w:w w:val="95"/>
              </w:rPr>
              <w:t>Maximum</w:t>
            </w:r>
          </w:p>
        </w:tc>
        <w:tc>
          <w:tcPr>
            <w:tcW w:w="162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ind w:left="29"/>
              <w:spacing w:after="0" w:line="147" w:lineRule="exact"/>
              <w:rPr>
                <w:sz w:val="20"/>
                <w:szCs w:val="20"/>
                <w:color w:val="auto"/>
              </w:rPr>
            </w:pPr>
            <w:r>
              <w:rPr>
                <w:rFonts w:ascii="Arial" w:cs="Arial" w:eastAsia="Arial" w:hAnsi="Arial"/>
                <w:sz w:val="14"/>
                <w:szCs w:val="14"/>
                <w:b w:val="1"/>
                <w:bCs w:val="1"/>
                <w:color w:val="auto"/>
                <w:w w:val="89"/>
              </w:rPr>
              <w:t>to be</w:t>
            </w:r>
          </w:p>
        </w:tc>
        <w:tc>
          <w:tcPr>
            <w:tcW w:w="1640" w:type="dxa"/>
            <w:vAlign w:val="bottom"/>
            <w:tcBorders>
              <w:right w:val="single" w:sz="8" w:color="auto"/>
            </w:tcBorders>
          </w:tcPr>
          <w:p>
            <w:pPr>
              <w:jc w:val="center"/>
              <w:ind w:left="11"/>
              <w:spacing w:after="0" w:line="147" w:lineRule="exact"/>
              <w:rPr>
                <w:sz w:val="20"/>
                <w:szCs w:val="20"/>
                <w:color w:val="auto"/>
              </w:rPr>
            </w:pPr>
            <w:r>
              <w:rPr>
                <w:rFonts w:ascii="Arial" w:cs="Arial" w:eastAsia="Arial" w:hAnsi="Arial"/>
                <w:sz w:val="14"/>
                <w:szCs w:val="14"/>
                <w:b w:val="1"/>
                <w:bCs w:val="1"/>
                <w:color w:val="auto"/>
                <w:w w:val="94"/>
              </w:rPr>
              <w:t>Offering Price</w:t>
            </w:r>
          </w:p>
        </w:tc>
        <w:tc>
          <w:tcPr>
            <w:tcW w:w="1620" w:type="dxa"/>
            <w:vAlign w:val="bottom"/>
            <w:tcBorders>
              <w:right w:val="single" w:sz="8" w:color="auto"/>
            </w:tcBorders>
          </w:tcPr>
          <w:p>
            <w:pPr>
              <w:jc w:val="center"/>
              <w:ind w:left="11"/>
              <w:spacing w:after="0" w:line="147" w:lineRule="exact"/>
              <w:rPr>
                <w:sz w:val="20"/>
                <w:szCs w:val="20"/>
                <w:color w:val="auto"/>
              </w:rPr>
            </w:pPr>
            <w:r>
              <w:rPr>
                <w:rFonts w:ascii="Arial" w:cs="Arial" w:eastAsia="Arial" w:hAnsi="Arial"/>
                <w:sz w:val="14"/>
                <w:szCs w:val="14"/>
                <w:b w:val="1"/>
                <w:bCs w:val="1"/>
                <w:color w:val="auto"/>
                <w:w w:val="89"/>
              </w:rPr>
              <w:t>Aggregate</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 to be registered</w:t>
            </w:r>
          </w:p>
        </w:tc>
        <w:tc>
          <w:tcPr>
            <w:tcW w:w="164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8"/>
              </w:rPr>
              <w:t>registered</w:t>
            </w:r>
          </w:p>
        </w:tc>
        <w:tc>
          <w:tcPr>
            <w:tcW w:w="164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1"/>
              </w:rPr>
              <w:t>Per Share</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62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0"/>
        </w:trPr>
        <w:tc>
          <w:tcPr>
            <w:tcW w:w="20" w:type="dxa"/>
            <w:vAlign w:val="bottom"/>
            <w:tcBorders>
              <w:bottom w:val="single" w:sz="8" w:color="auto"/>
            </w:tcBorders>
          </w:tcPr>
          <w:p>
            <w:pPr>
              <w:spacing w:after="0"/>
              <w:rPr>
                <w:sz w:val="12"/>
                <w:szCs w:val="12"/>
                <w:color w:val="auto"/>
              </w:rPr>
            </w:pPr>
          </w:p>
        </w:tc>
        <w:tc>
          <w:tcPr>
            <w:tcW w:w="4380" w:type="dxa"/>
            <w:vAlign w:val="bottom"/>
            <w:tcBorders>
              <w:bottom w:val="single" w:sz="8" w:color="auto"/>
              <w:right w:val="single" w:sz="8" w:color="auto"/>
            </w:tcBorders>
          </w:tcPr>
          <w:p>
            <w:pPr>
              <w:spacing w:after="0" w:line="141" w:lineRule="exact"/>
              <w:rPr>
                <w:sz w:val="20"/>
                <w:szCs w:val="20"/>
                <w:color w:val="auto"/>
              </w:rPr>
            </w:pPr>
            <w:r>
              <w:rPr>
                <w:rFonts w:ascii="Arial" w:cs="Arial" w:eastAsia="Arial" w:hAnsi="Arial"/>
                <w:sz w:val="14"/>
                <w:szCs w:val="14"/>
                <w:color w:val="auto"/>
              </w:rPr>
              <w:t>Common Stock, $0.01 par value per share</w:t>
            </w:r>
            <w:r>
              <w:rPr>
                <w:rFonts w:ascii="Arial" w:cs="Arial" w:eastAsia="Arial" w:hAnsi="Arial"/>
                <w:sz w:val="12"/>
                <w:szCs w:val="12"/>
                <w:color w:val="auto"/>
              </w:rPr>
              <w:t>(1)</w:t>
            </w:r>
          </w:p>
        </w:tc>
        <w:tc>
          <w:tcPr>
            <w:tcW w:w="1640" w:type="dxa"/>
            <w:vAlign w:val="bottom"/>
            <w:tcBorders>
              <w:bottom w:val="single" w:sz="8" w:color="auto"/>
              <w:right w:val="single" w:sz="8" w:color="auto"/>
            </w:tcBorders>
          </w:tcPr>
          <w:p>
            <w:pPr>
              <w:jc w:val="center"/>
              <w:ind w:left="9"/>
              <w:spacing w:after="0" w:line="141" w:lineRule="exact"/>
              <w:rPr>
                <w:sz w:val="20"/>
                <w:szCs w:val="20"/>
                <w:color w:val="auto"/>
              </w:rPr>
            </w:pPr>
            <w:r>
              <w:rPr>
                <w:rFonts w:ascii="Arial" w:cs="Arial" w:eastAsia="Arial" w:hAnsi="Arial"/>
                <w:sz w:val="14"/>
                <w:szCs w:val="14"/>
                <w:color w:val="auto"/>
                <w:w w:val="93"/>
              </w:rPr>
              <w:t>(2)(3)</w:t>
            </w:r>
          </w:p>
        </w:tc>
        <w:tc>
          <w:tcPr>
            <w:tcW w:w="164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(2)(3)(4)</w:t>
            </w:r>
          </w:p>
        </w:tc>
        <w:tc>
          <w:tcPr>
            <w:tcW w:w="1620" w:type="dxa"/>
            <w:vAlign w:val="bottom"/>
            <w:tcBorders>
              <w:bottom w:val="single" w:sz="8" w:color="auto"/>
              <w:right w:val="single" w:sz="8" w:color="auto"/>
            </w:tcBorders>
          </w:tcPr>
          <w:p>
            <w:pPr>
              <w:jc w:val="center"/>
              <w:ind w:left="11"/>
              <w:spacing w:after="0" w:line="141" w:lineRule="exact"/>
              <w:rPr>
                <w:sz w:val="20"/>
                <w:szCs w:val="20"/>
                <w:color w:val="auto"/>
              </w:rPr>
            </w:pPr>
            <w:r>
              <w:rPr>
                <w:rFonts w:ascii="Arial" w:cs="Arial" w:eastAsia="Arial" w:hAnsi="Arial"/>
                <w:sz w:val="14"/>
                <w:szCs w:val="14"/>
                <w:color w:val="auto"/>
                <w:w w:val="97"/>
              </w:rPr>
              <w:t>(2)(3)(4)</w:t>
            </w:r>
          </w:p>
        </w:tc>
        <w:tc>
          <w:tcPr>
            <w:tcW w:w="1620" w:type="dxa"/>
            <w:vAlign w:val="bottom"/>
            <w:tcBorders>
              <w:bottom w:val="single" w:sz="8" w:color="auto"/>
            </w:tcBorders>
          </w:tcPr>
          <w:p>
            <w:pPr>
              <w:jc w:val="center"/>
              <w:ind w:left="29"/>
              <w:spacing w:after="0" w:line="141" w:lineRule="exact"/>
              <w:rPr>
                <w:sz w:val="20"/>
                <w:szCs w:val="20"/>
                <w:color w:val="auto"/>
              </w:rPr>
            </w:pPr>
            <w:r>
              <w:rPr>
                <w:rFonts w:ascii="Arial" w:cs="Arial" w:eastAsia="Arial" w:hAnsi="Arial"/>
                <w:sz w:val="14"/>
                <w:szCs w:val="14"/>
                <w:color w:val="auto"/>
                <w:w w:val="93"/>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right="80" w:hanging="433"/>
        <w:spacing w:after="0" w:line="222"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of 1933, as amended (the “Securities Act”), the common stock being registered hereunder includes such indeterminate number of shares of common stock as may be issuable with respect to the shares being registered hereunder as a result of any stock splits, stock dividends or similar transactions for which no consideration will be received by the registrant.</w:t>
      </w:r>
    </w:p>
    <w:p>
      <w:pPr>
        <w:spacing w:after="0" w:line="1" w:lineRule="exact"/>
        <w:rPr>
          <w:rFonts w:ascii="Arial" w:cs="Arial" w:eastAsia="Arial" w:hAnsi="Arial"/>
          <w:sz w:val="14"/>
          <w:szCs w:val="14"/>
          <w:color w:val="auto"/>
        </w:rPr>
      </w:pPr>
    </w:p>
    <w:p>
      <w:pPr>
        <w:ind w:left="600" w:hanging="433"/>
        <w:spacing w:after="0" w:line="219"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Not applicable pursuant to General Instruction II(E) of Form S-3.</w:t>
      </w:r>
    </w:p>
    <w:p>
      <w:pPr>
        <w:ind w:left="600" w:hanging="433"/>
        <w:spacing w:after="0" w:line="219"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amount of shares of common stock to be offered at indeterminate prices from time to time is being registered pursuant to this registration statement.</w:t>
      </w:r>
    </w:p>
    <w:p>
      <w:pPr>
        <w:ind w:left="600" w:right="360" w:hanging="433"/>
        <w:spacing w:after="0" w:line="235"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457(r) of the Securities Act, the registrant is deferring payment of all of the registration fee. Registration fees will be paid subsequently on a pay-as-you-go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118110</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168910</wp:posOffset>
            </wp:positionV>
            <wp:extent cx="3422650" cy="543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2650" cy="54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Shutterstock, Inc.</w:t>
      </w: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248285</wp:posOffset>
            </wp:positionV>
            <wp:extent cx="1460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both"/>
        <w:ind w:left="160" w:right="380" w:firstLine="436"/>
        <w:spacing w:after="0" w:line="281" w:lineRule="auto"/>
        <w:rPr>
          <w:sz w:val="20"/>
          <w:szCs w:val="20"/>
          <w:color w:val="auto"/>
        </w:rPr>
      </w:pPr>
      <w:r>
        <w:rPr>
          <w:rFonts w:ascii="Arial" w:cs="Arial" w:eastAsia="Arial" w:hAnsi="Arial"/>
          <w:sz w:val="17"/>
          <w:szCs w:val="17"/>
          <w:color w:val="auto"/>
        </w:rPr>
        <w:t>We may offer and sell from time to time, in one or more offerings, shares of our common stock. In addition, selling stockholders who may be named in a prospectus supplement may offer and sell from time to time shares of our common stock in such amounts as set forth in such prospectus supplement. We will not receive any of the proceeds from the sale of the common stock by the selling stockholders.</w:t>
      </w:r>
    </w:p>
    <w:p>
      <w:pPr>
        <w:spacing w:after="0" w:line="169" w:lineRule="exact"/>
        <w:rPr>
          <w:sz w:val="20"/>
          <w:szCs w:val="20"/>
          <w:color w:val="auto"/>
        </w:rPr>
      </w:pPr>
    </w:p>
    <w:p>
      <w:pPr>
        <w:jc w:val="both"/>
        <w:ind w:left="160" w:firstLine="436"/>
        <w:spacing w:after="0" w:line="259" w:lineRule="auto"/>
        <w:rPr>
          <w:sz w:val="20"/>
          <w:szCs w:val="20"/>
          <w:color w:val="auto"/>
        </w:rPr>
      </w:pPr>
      <w:r>
        <w:rPr>
          <w:rFonts w:ascii="Arial" w:cs="Arial" w:eastAsia="Arial" w:hAnsi="Arial"/>
          <w:sz w:val="18"/>
          <w:szCs w:val="18"/>
          <w:color w:val="auto"/>
        </w:rPr>
        <w:t>The common stock may be offered or sold at fixed prices, at prevailing market prices at the time of sale or at prices negotiated with purchasers, to or through underwriters, broker-dealers, agents, or through any other means described in this prospectus under “Plan of Distribution” and in supplements to this prospectus in connection with a particular offering of our common stock.</w:t>
      </w:r>
    </w:p>
    <w:p>
      <w:pPr>
        <w:spacing w:after="0" w:line="186" w:lineRule="exact"/>
        <w:rPr>
          <w:sz w:val="20"/>
          <w:szCs w:val="20"/>
          <w:color w:val="auto"/>
        </w:rPr>
      </w:pPr>
    </w:p>
    <w:p>
      <w:pPr>
        <w:ind w:left="160" w:right="180" w:firstLine="436"/>
        <w:spacing w:after="0" w:line="297" w:lineRule="auto"/>
        <w:rPr>
          <w:sz w:val="20"/>
          <w:szCs w:val="20"/>
          <w:color w:val="auto"/>
        </w:rPr>
      </w:pPr>
      <w:r>
        <w:rPr>
          <w:rFonts w:ascii="Arial" w:cs="Arial" w:eastAsia="Arial" w:hAnsi="Arial"/>
          <w:sz w:val="16"/>
          <w:szCs w:val="16"/>
          <w:color w:val="auto"/>
        </w:rPr>
        <w:t>This prospectus describes the general manner in which common stock may be offered and sold by us or by the selling stockholders. The specific terms of any offering will be described in a supplement to this prospectus. Any prospectus supplement may also add to, update, modify or replace information contained in this prospectus. We urge you to read carefully this prospectus, any accompanying prospectus supplement and any documents we incorporate by reference into this prospectus and any accompanying prospectus supplement before you make your investment decision.</w:t>
      </w:r>
    </w:p>
    <w:p>
      <w:pPr>
        <w:spacing w:after="0" w:line="159" w:lineRule="exact"/>
        <w:rPr>
          <w:sz w:val="20"/>
          <w:szCs w:val="20"/>
          <w:color w:val="auto"/>
        </w:rPr>
      </w:pPr>
    </w:p>
    <w:p>
      <w:pPr>
        <w:ind w:left="160" w:right="280" w:firstLine="436"/>
        <w:spacing w:after="0" w:line="271" w:lineRule="auto"/>
        <w:rPr>
          <w:sz w:val="20"/>
          <w:szCs w:val="20"/>
          <w:color w:val="auto"/>
        </w:rPr>
      </w:pPr>
      <w:r>
        <w:rPr>
          <w:rFonts w:ascii="Arial" w:cs="Arial" w:eastAsia="Arial" w:hAnsi="Arial"/>
          <w:sz w:val="18"/>
          <w:szCs w:val="18"/>
          <w:color w:val="auto"/>
        </w:rPr>
        <w:t>Our common stock is listed on the New York Stock Exchange under the symbol “SSTK.” On August 7, 2020, the closing price of our common stock on the New York Stock Exchange was $57.79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205105</wp:posOffset>
            </wp:positionV>
            <wp:extent cx="1460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60" w:right="60" w:firstLine="436"/>
        <w:spacing w:after="0" w:line="273" w:lineRule="auto"/>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Investing in our common stock involves risks. You should carefully consider all of the information set forth in this prospectus, including the risk factors set forth under “Risk Factors” in our Annual Report on </w:t>
      </w:r>
      <w:hyperlink r:id="rId23">
        <w:r>
          <w:rPr>
            <w:rFonts w:ascii="Arial" w:cs="Arial" w:eastAsia="Arial" w:hAnsi="Arial"/>
            <w:sz w:val="19"/>
            <w:szCs w:val="19"/>
            <w:b w:val="1"/>
            <w:bCs w:val="1"/>
            <w:u w:val="single" w:color="auto"/>
            <w:color w:val="0000EE"/>
          </w:rPr>
          <w:t>Form 10-K</w:t>
        </w:r>
        <w:r>
          <w:rPr>
            <w:rFonts w:ascii="Arial" w:cs="Arial" w:eastAsia="Arial" w:hAnsi="Arial"/>
            <w:sz w:val="19"/>
            <w:szCs w:val="19"/>
            <w:b w:val="1"/>
            <w:bCs w:val="1"/>
            <w:u w:val="single" w:color="auto"/>
            <w:color w:val="auto"/>
          </w:rPr>
          <w:t xml:space="preserve"> </w:t>
        </w:r>
      </w:hyperlink>
      <w:r>
        <w:rPr>
          <w:rFonts w:ascii="Arial" w:cs="Arial" w:eastAsia="Arial" w:hAnsi="Arial"/>
          <w:sz w:val="19"/>
          <w:szCs w:val="19"/>
          <w:b w:val="1"/>
          <w:bCs w:val="1"/>
          <w:color w:val="auto"/>
        </w:rPr>
        <w:t xml:space="preserve">for the year ended December 31, 2019 filed with the Securities and Exchange Commission on February 13, 2020 and our Quarterly Report on </w:t>
      </w:r>
      <w:hyperlink r:id="rId24">
        <w:r>
          <w:rPr>
            <w:rFonts w:ascii="Arial" w:cs="Arial" w:eastAsia="Arial" w:hAnsi="Arial"/>
            <w:sz w:val="19"/>
            <w:szCs w:val="19"/>
            <w:b w:val="1"/>
            <w:bCs w:val="1"/>
            <w:u w:val="single" w:color="auto"/>
            <w:color w:val="0000EE"/>
          </w:rPr>
          <w:t>Form 10-Q</w:t>
        </w:r>
        <w:r>
          <w:rPr>
            <w:rFonts w:ascii="Arial" w:cs="Arial" w:eastAsia="Arial" w:hAnsi="Arial"/>
            <w:sz w:val="19"/>
            <w:szCs w:val="19"/>
            <w:b w:val="1"/>
            <w:bCs w:val="1"/>
            <w:u w:val="single" w:color="auto"/>
            <w:color w:val="auto"/>
          </w:rPr>
          <w:t xml:space="preserve"> </w:t>
        </w:r>
      </w:hyperlink>
      <w:r>
        <w:rPr>
          <w:rFonts w:ascii="Arial" w:cs="Arial" w:eastAsia="Arial" w:hAnsi="Arial"/>
          <w:sz w:val="19"/>
          <w:szCs w:val="19"/>
          <w:b w:val="1"/>
          <w:bCs w:val="1"/>
          <w:color w:val="auto"/>
        </w:rPr>
        <w:t>for the quarter ended March 31, 2020 filed with the Securities and Exchange Commission on April 28, 2020 (which documents are incorporated by reference herein), as well as the risk factors and other information contained in any accompanying prospectus supplement and any related free writing prospectus and any documents we incorporate by reference into this prospectus and any accompanying prospectus supplement, before deciding to invest in our common stock. See “Information Incorporated By Reference.”</w:t>
      </w:r>
    </w:p>
    <w:p>
      <w:pPr>
        <w:spacing w:after="0" w:line="161" w:lineRule="exact"/>
        <w:rPr>
          <w:sz w:val="20"/>
          <w:szCs w:val="20"/>
          <w:color w:val="auto"/>
        </w:rPr>
      </w:pPr>
    </w:p>
    <w:p>
      <w:pPr>
        <w:ind w:left="160" w:right="140" w:firstLine="436"/>
        <w:spacing w:after="0" w:line="306"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August 10, 2020.</w:t>
      </w:r>
    </w:p>
    <w:p>
      <w:pPr>
        <w:sectPr>
          <w:pgSz w:w="11900" w:h="16838" w:orient="portrait"/>
          <w:cols w:equalWidth="0" w:num="1">
            <w:col w:w="11080"/>
          </w:cols>
          <w:pgMar w:left="320" w:top="456"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540" w:type="dxa"/>
            <w:vAlign w:val="bottom"/>
          </w:tcPr>
          <w:p>
            <w:pPr>
              <w:spacing w:after="0"/>
              <w:rPr>
                <w:sz w:val="20"/>
                <w:szCs w:val="20"/>
                <w:color w:val="auto"/>
              </w:rPr>
            </w:pPr>
          </w:p>
        </w:tc>
      </w:tr>
      <w:tr>
        <w:trPr>
          <w:trHeight w:val="508"/>
        </w:trPr>
        <w:tc>
          <w:tcPr>
            <w:tcW w:w="4480" w:type="dxa"/>
            <w:vAlign w:val="bottom"/>
          </w:tcPr>
          <w:p>
            <w:pPr>
              <w:spacing w:after="0"/>
              <w:rPr>
                <w:sz w:val="24"/>
                <w:szCs w:val="24"/>
                <w:color w:val="auto"/>
              </w:rPr>
            </w:pPr>
          </w:p>
        </w:tc>
        <w:tc>
          <w:tcPr>
            <w:tcW w:w="6540" w:type="dxa"/>
            <w:vAlign w:val="bottom"/>
          </w:tcPr>
          <w:p>
            <w:pPr>
              <w:jc w:val="right"/>
              <w:ind w:right="4351"/>
              <w:spacing w:after="0"/>
              <w:rPr>
                <w:sz w:val="20"/>
                <w:szCs w:val="20"/>
                <w:color w:val="auto"/>
              </w:rPr>
            </w:pPr>
            <w:r>
              <w:rPr>
                <w:rFonts w:ascii="Arial" w:cs="Arial" w:eastAsia="Arial" w:hAnsi="Arial"/>
                <w:sz w:val="18"/>
                <w:szCs w:val="18"/>
                <w:b w:val="1"/>
                <w:bCs w:val="1"/>
                <w:color w:val="auto"/>
              </w:rPr>
              <w:t>TABLE OF CONTENTS</w:t>
            </w:r>
          </w:p>
        </w:tc>
      </w:tr>
      <w:tr>
        <w:trPr>
          <w:trHeight w:val="455"/>
        </w:trPr>
        <w:tc>
          <w:tcPr>
            <w:tcW w:w="4480" w:type="dxa"/>
            <w:vAlign w:val="bottom"/>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6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1"/>
        </w:trPr>
        <w:tc>
          <w:tcPr>
            <w:tcW w:w="4480" w:type="dxa"/>
            <w:vAlign w:val="bottom"/>
          </w:tcPr>
          <w:p>
            <w:pPr>
              <w:ind w:left="1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Us</w:t>
              </w:r>
            </w:hyperlink>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1"/>
        </w:trPr>
        <w:tc>
          <w:tcPr>
            <w:tcW w:w="4480" w:type="dxa"/>
            <w:vAlign w:val="bottom"/>
          </w:tcPr>
          <w:p>
            <w:pPr>
              <w:ind w:left="160"/>
              <w:spacing w:after="0"/>
              <w:rPr>
                <w:rFonts w:ascii="Arial" w:cs="Arial" w:eastAsia="Arial" w:hAnsi="Arial"/>
                <w:sz w:val="18"/>
                <w:szCs w:val="18"/>
                <w:u w:val="single" w:color="auto"/>
                <w:color w:val="0000EE"/>
                <w:w w:val="94"/>
              </w:rPr>
            </w:pPr>
            <w:hyperlink w:anchor="page6">
              <w:r>
                <w:rPr>
                  <w:rFonts w:ascii="Arial" w:cs="Arial" w:eastAsia="Arial" w:hAnsi="Arial"/>
                  <w:sz w:val="18"/>
                  <w:szCs w:val="18"/>
                  <w:u w:val="single" w:color="auto"/>
                  <w:color w:val="0000EE"/>
                  <w:w w:val="94"/>
                </w:rPr>
                <w:t>Cautionary Note Regarding Forward-Looking Statements</w:t>
              </w:r>
            </w:hyperlink>
          </w:p>
        </w:tc>
        <w:tc>
          <w:tcPr>
            <w:tcW w:w="6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81"/>
        </w:trPr>
        <w:tc>
          <w:tcPr>
            <w:tcW w:w="4480" w:type="dxa"/>
            <w:vAlign w:val="bottom"/>
          </w:tcPr>
          <w:p>
            <w:pPr>
              <w:ind w:left="1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1"/>
        </w:trPr>
        <w:tc>
          <w:tcPr>
            <w:tcW w:w="4480" w:type="dxa"/>
            <w:vAlign w:val="bottom"/>
          </w:tcPr>
          <w:p>
            <w:pPr>
              <w:ind w:left="1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Use of Proceeds</w:t>
              </w:r>
            </w:hyperlink>
          </w:p>
        </w:tc>
        <w:tc>
          <w:tcPr>
            <w:tcW w:w="6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81"/>
        </w:trPr>
        <w:tc>
          <w:tcPr>
            <w:tcW w:w="4480" w:type="dxa"/>
            <w:vAlign w:val="bottom"/>
          </w:tcPr>
          <w:p>
            <w:pPr>
              <w:ind w:left="1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Description of Capital Stock</w:t>
              </w:r>
            </w:hyperlink>
          </w:p>
        </w:tc>
        <w:tc>
          <w:tcPr>
            <w:tcW w:w="6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1"/>
        </w:trPr>
        <w:tc>
          <w:tcPr>
            <w:tcW w:w="4480" w:type="dxa"/>
            <w:vAlign w:val="bottom"/>
          </w:tcPr>
          <w:p>
            <w:pPr>
              <w:ind w:left="1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Selling Stockholders</w:t>
              </w:r>
            </w:hyperlink>
          </w:p>
        </w:tc>
        <w:tc>
          <w:tcPr>
            <w:tcW w:w="6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1"/>
        </w:trPr>
        <w:tc>
          <w:tcPr>
            <w:tcW w:w="4480" w:type="dxa"/>
            <w:vAlign w:val="bottom"/>
          </w:tcPr>
          <w:p>
            <w:pPr>
              <w:ind w:left="1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Plan of Distribution</w:t>
              </w:r>
            </w:hyperlink>
          </w:p>
        </w:tc>
        <w:tc>
          <w:tcPr>
            <w:tcW w:w="6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1"/>
        </w:trPr>
        <w:tc>
          <w:tcPr>
            <w:tcW w:w="4480" w:type="dxa"/>
            <w:vAlign w:val="bottom"/>
          </w:tcPr>
          <w:p>
            <w:pPr>
              <w:ind w:left="16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Legal Matters</w:t>
              </w:r>
            </w:hyperlink>
          </w:p>
        </w:tc>
        <w:tc>
          <w:tcPr>
            <w:tcW w:w="6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1"/>
        </w:trPr>
        <w:tc>
          <w:tcPr>
            <w:tcW w:w="4480" w:type="dxa"/>
            <w:vAlign w:val="bottom"/>
          </w:tcPr>
          <w:p>
            <w:pPr>
              <w:ind w:left="16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Experts</w:t>
              </w:r>
            </w:hyperlink>
          </w:p>
        </w:tc>
        <w:tc>
          <w:tcPr>
            <w:tcW w:w="6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1"/>
        </w:trPr>
        <w:tc>
          <w:tcPr>
            <w:tcW w:w="4480" w:type="dxa"/>
            <w:vAlign w:val="bottom"/>
          </w:tcPr>
          <w:p>
            <w:pPr>
              <w:ind w:left="16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Where You Can Find More Information</w:t>
              </w:r>
            </w:hyperlink>
          </w:p>
        </w:tc>
        <w:tc>
          <w:tcPr>
            <w:tcW w:w="6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1"/>
        </w:trPr>
        <w:tc>
          <w:tcPr>
            <w:tcW w:w="4480" w:type="dxa"/>
            <w:vAlign w:val="bottom"/>
          </w:tcPr>
          <w:p>
            <w:pPr>
              <w:ind w:left="1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Information Incorporated By Reference</w:t>
              </w:r>
            </w:hyperlink>
          </w:p>
        </w:tc>
        <w:tc>
          <w:tcPr>
            <w:tcW w:w="6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1"/>
        </w:trPr>
        <w:tc>
          <w:tcPr>
            <w:tcW w:w="4480" w:type="dxa"/>
            <w:vAlign w:val="bottom"/>
          </w:tcPr>
          <w:p>
            <w:pPr>
              <w:spacing w:after="0"/>
              <w:rPr>
                <w:sz w:val="24"/>
                <w:szCs w:val="24"/>
                <w:color w:val="auto"/>
              </w:rPr>
            </w:pPr>
          </w:p>
        </w:tc>
        <w:tc>
          <w:tcPr>
            <w:tcW w:w="6540" w:type="dxa"/>
            <w:vAlign w:val="bottom"/>
          </w:tcPr>
          <w:p>
            <w:pPr>
              <w:jc w:val="right"/>
              <w:ind w:right="5291"/>
              <w:spacing w:after="0"/>
              <w:rPr>
                <w:sz w:val="20"/>
                <w:szCs w:val="20"/>
                <w:color w:val="auto"/>
              </w:rPr>
            </w:pPr>
            <w:r>
              <w:rPr>
                <w:rFonts w:ascii="Arial" w:cs="Arial" w:eastAsia="Arial" w:hAnsi="Arial"/>
                <w:sz w:val="18"/>
                <w:szCs w:val="18"/>
                <w:color w:val="auto"/>
              </w:rPr>
              <w:t>i</w:t>
            </w:r>
          </w:p>
        </w:tc>
      </w:tr>
    </w:tbl>
    <w:p>
      <w:pPr>
        <w:jc w:val="right"/>
        <w:ind w:right="5291"/>
        <w:spacing w:after="0"/>
        <w:rPr>
          <w:sz w:val="20"/>
          <w:szCs w:val="20"/>
          <w:color w:val="auto"/>
        </w:rPr>
        <w:sectPr>
          <w:pgSz w:w="11900" w:h="16838" w:orient="portrait"/>
          <w:cols w:equalWidth="0" w:num="1">
            <w:col w:w="11020"/>
          </w:cols>
          <w:pgMar w:left="320" w:top="456" w:right="559" w:bottom="1440" w:gutter="0" w:footer="0" w:header="0"/>
        </w:sect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w:t>
      </w:r>
    </w:p>
    <w:p>
      <w:pPr>
        <w:spacing w:after="0" w:line="225"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This prospectus is part of an “automatic shelf” registration statement on Form S-3 that we filed with the Securities and Exchange Commission (the “SEC”), as a “well-known seasoned issuer” as defined in Rule 405 under the Securities Act of 1933, as amended (the “Securities Act”), using the SEC’s “shelf” registration rules. Pursuant to this prospectus, we or certain selling stockholders may, from time to time, offer and sell shares of our common stock in one or more offerings.</w:t>
      </w:r>
    </w:p>
    <w:p>
      <w:pPr>
        <w:spacing w:after="0" w:line="190" w:lineRule="exact"/>
        <w:rPr>
          <w:sz w:val="20"/>
          <w:szCs w:val="20"/>
          <w:color w:val="auto"/>
        </w:rPr>
      </w:pPr>
    </w:p>
    <w:p>
      <w:pPr>
        <w:ind w:left="160" w:firstLine="436"/>
        <w:spacing w:after="0" w:line="251" w:lineRule="auto"/>
        <w:rPr>
          <w:sz w:val="20"/>
          <w:szCs w:val="20"/>
          <w:color w:val="auto"/>
        </w:rPr>
      </w:pPr>
      <w:r>
        <w:rPr>
          <w:rFonts w:ascii="Arial" w:cs="Arial" w:eastAsia="Arial" w:hAnsi="Arial"/>
          <w:sz w:val="18"/>
          <w:szCs w:val="18"/>
          <w:color w:val="auto"/>
        </w:rPr>
        <w:t>This prospectus provides you with a general description of our common stock. Each time we use this prospectus to offer shares of our common stock, we will provide you with a prospectus supplement that will contain specific information about the terms of that offering. A prospectus supplement may add, update, modify or replace information contained in this prospectus. If information varies between this prospectus and any accompanying prospectus supplement, you should rely on the information in the accompanying prospectus supplement. This prospectus does not contain all the information provided in the registration statement filed with the SEC. You should carefully read both this prospectus and any prospectus supplement together with the additional information described below under “Where You Can Find More Information” and “Information Incorporated By Reference” before you make an investment decision.</w:t>
      </w:r>
    </w:p>
    <w:p>
      <w:pPr>
        <w:spacing w:after="0" w:line="197" w:lineRule="exact"/>
        <w:rPr>
          <w:sz w:val="20"/>
          <w:szCs w:val="20"/>
          <w:color w:val="auto"/>
        </w:rPr>
      </w:pPr>
    </w:p>
    <w:p>
      <w:pPr>
        <w:ind w:left="160" w:right="20" w:firstLine="436"/>
        <w:spacing w:after="0" w:line="297"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hereby made to the actual documents for complete information. All of the summaries are qualified in their entirety by reference to the actual documents. Copies of some of the documents referred to herein have been filed or will be filed or incorporated by reference as exhibits to the registration statement of which this prospectus is a part, and you may obtain copies of those documents as described below in the section entitled “Where You Can Find More Information.”</w:t>
      </w:r>
    </w:p>
    <w:p>
      <w:pPr>
        <w:spacing w:after="0" w:line="155" w:lineRule="exact"/>
        <w:rPr>
          <w:sz w:val="20"/>
          <w:szCs w:val="20"/>
          <w:color w:val="auto"/>
        </w:rPr>
      </w:pPr>
    </w:p>
    <w:p>
      <w:pPr>
        <w:ind w:left="160" w:firstLine="436"/>
        <w:spacing w:after="0" w:line="269" w:lineRule="auto"/>
        <w:rPr>
          <w:sz w:val="20"/>
          <w:szCs w:val="20"/>
          <w:color w:val="auto"/>
        </w:rPr>
      </w:pPr>
      <w:r>
        <w:rPr>
          <w:rFonts w:ascii="Arial" w:cs="Arial" w:eastAsia="Arial" w:hAnsi="Arial"/>
          <w:sz w:val="17"/>
          <w:szCs w:val="17"/>
          <w:b w:val="1"/>
          <w:bCs w:val="1"/>
          <w:color w:val="auto"/>
        </w:rPr>
        <w:t>We have not authorized anyone to provide you with information different from that contained in or incorporated by reference into this prospectus. We will not make an offer to sell securities in any jurisdiction where the offer or sale is not permitted. You should not assume that the information in this prospectus, any accompanying prospectus supplement or any documents we incorporate by reference into this prospectus and any prospectus supplement is accurate as of any date other than the date on the front of those documents. Our business, financial condition, results of operations and prospects may have changed since those dates. Except as required by law, we do not undertake any obligation to update or revise, or to publicly announce any update or revision to, any of the forward-looking statements, whether as a result of new information, future events or otherwise, after the date of this prospectus.</w:t>
      </w:r>
    </w:p>
    <w:p>
      <w:pPr>
        <w:spacing w:after="0" w:line="182" w:lineRule="exact"/>
        <w:rPr>
          <w:sz w:val="20"/>
          <w:szCs w:val="20"/>
          <w:color w:val="auto"/>
        </w:rPr>
      </w:pPr>
    </w:p>
    <w:p>
      <w:pPr>
        <w:ind w:left="160" w:right="180" w:firstLine="436"/>
        <w:spacing w:after="0" w:line="307" w:lineRule="auto"/>
        <w:rPr>
          <w:sz w:val="20"/>
          <w:szCs w:val="20"/>
          <w:color w:val="auto"/>
        </w:rPr>
      </w:pPr>
      <w:r>
        <w:rPr>
          <w:rFonts w:ascii="Arial" w:cs="Arial" w:eastAsia="Arial" w:hAnsi="Arial"/>
          <w:sz w:val="16"/>
          <w:szCs w:val="16"/>
          <w:color w:val="auto"/>
        </w:rPr>
        <w:t>No action is being taken in any jurisdiction outside the United States to permit a public offering of securities or possession or distribution of this prospectus in that jurisdiction. Persons who come into possession of this prospectus in jurisdictions outside the United States are required to inform themselves about and to observe any restriction as to such offering and the distribution of this prospectus applicable to those jurisdictions.</w:t>
      </w:r>
    </w:p>
    <w:p>
      <w:pPr>
        <w:spacing w:after="0" w:line="150" w:lineRule="exact"/>
        <w:rPr>
          <w:sz w:val="20"/>
          <w:szCs w:val="20"/>
          <w:color w:val="auto"/>
        </w:rPr>
      </w:pPr>
    </w:p>
    <w:p>
      <w:pPr>
        <w:ind w:left="160" w:right="20" w:firstLine="436"/>
        <w:spacing w:after="0" w:line="271" w:lineRule="auto"/>
        <w:rPr>
          <w:sz w:val="20"/>
          <w:szCs w:val="20"/>
          <w:color w:val="auto"/>
        </w:rPr>
      </w:pPr>
      <w:r>
        <w:rPr>
          <w:rFonts w:ascii="Arial" w:cs="Arial" w:eastAsia="Arial" w:hAnsi="Arial"/>
          <w:sz w:val="18"/>
          <w:szCs w:val="18"/>
          <w:color w:val="auto"/>
        </w:rPr>
        <w:t>In this prospectus, unless stated otherwise or the context indicates otherwise, references to “Shutterstock,” the “Company,” “our Company,” “we,” “our,” “ours” and “us” refer to Shutterstock, Inc. and its subsidiaries.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56"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US</w:t>
      </w:r>
    </w:p>
    <w:p>
      <w:pPr>
        <w:spacing w:after="0" w:line="225" w:lineRule="exact"/>
        <w:rPr>
          <w:sz w:val="20"/>
          <w:szCs w:val="20"/>
          <w:color w:val="auto"/>
        </w:rPr>
      </w:pPr>
    </w:p>
    <w:p>
      <w:pPr>
        <w:ind w:left="160" w:right="140" w:firstLine="436"/>
        <w:spacing w:after="0" w:line="259" w:lineRule="auto"/>
        <w:rPr>
          <w:sz w:val="20"/>
          <w:szCs w:val="20"/>
          <w:color w:val="auto"/>
        </w:rPr>
      </w:pPr>
      <w:r>
        <w:rPr>
          <w:rFonts w:ascii="Arial" w:cs="Arial" w:eastAsia="Arial" w:hAnsi="Arial"/>
          <w:sz w:val="18"/>
          <w:szCs w:val="18"/>
          <w:color w:val="auto"/>
        </w:rPr>
        <w:t>Shutterstock is a global technology company offering a creative platform, which provides high-quality content, tools and services to creative professionals. Our platform brings together users and contributors of content by providing readily-searchable content that our customers pay to license and by compensating contributors as their content is licensed.</w:t>
      </w:r>
    </w:p>
    <w:p>
      <w:pPr>
        <w:spacing w:after="0" w:line="186" w:lineRule="exact"/>
        <w:rPr>
          <w:sz w:val="20"/>
          <w:szCs w:val="20"/>
          <w:color w:val="auto"/>
        </w:rPr>
      </w:pPr>
    </w:p>
    <w:p>
      <w:pPr>
        <w:ind w:left="160" w:right="120" w:firstLine="436"/>
        <w:spacing w:after="0" w:line="259" w:lineRule="auto"/>
        <w:rPr>
          <w:sz w:val="20"/>
          <w:szCs w:val="20"/>
          <w:color w:val="auto"/>
        </w:rPr>
      </w:pPr>
      <w:r>
        <w:rPr>
          <w:rFonts w:ascii="Arial" w:cs="Arial" w:eastAsia="Arial" w:hAnsi="Arial"/>
          <w:sz w:val="18"/>
          <w:szCs w:val="18"/>
          <w:color w:val="auto"/>
        </w:rPr>
        <w:t>We launched our platform in 2003, and on October 5, 2012, we reorganized as Shutterstock, Inc., a Delaware corporation, from Shutterstock Images LLC, a New York limited liability company. We completed our initial public offering in October 2012. Our common stock is listed on the New York Stock Exchange under the symbol “SSTK.”</w:t>
      </w:r>
    </w:p>
    <w:p>
      <w:pPr>
        <w:spacing w:after="0" w:line="186" w:lineRule="exact"/>
        <w:rPr>
          <w:sz w:val="20"/>
          <w:szCs w:val="20"/>
          <w:color w:val="auto"/>
        </w:rPr>
      </w:pPr>
    </w:p>
    <w:p>
      <w:pPr>
        <w:ind w:left="160" w:right="240" w:firstLine="436"/>
        <w:spacing w:after="0" w:line="287" w:lineRule="auto"/>
        <w:rPr>
          <w:sz w:val="20"/>
          <w:szCs w:val="20"/>
          <w:color w:val="auto"/>
        </w:rPr>
      </w:pPr>
      <w:r>
        <w:rPr>
          <w:rFonts w:ascii="Arial" w:cs="Arial" w:eastAsia="Arial" w:hAnsi="Arial"/>
          <w:sz w:val="16"/>
          <w:szCs w:val="16"/>
          <w:color w:val="auto"/>
        </w:rPr>
        <w:t>Our corporate headquarters and principal executive offices are located at 350 Fifth Avenue, 21st Floor, New York, NY 10118. Our telephone number is (646) 710-3417. We maintain a website at investor.shutterstock.com where our Annual Reports on Form 10-K, Quarterly Reports on Form</w:t>
      </w:r>
    </w:p>
    <w:p>
      <w:pPr>
        <w:spacing w:after="0" w:line="1"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color w:val="auto"/>
        </w:rPr>
        <w:t>10-Q, Current Reports on Form 8-K and all amendments to those reports are available without charge, as soon as reasonably practicable following the time they are filed with or furnished to the SEC. The information on or accessible through our website is not incorporated into or part of this prospectus (except for our SEC reports expressly incorporated by reference herein).</w:t>
      </w:r>
    </w:p>
    <w:p>
      <w:pPr>
        <w:spacing w:after="0" w:line="191" w:lineRule="exact"/>
        <w:rPr>
          <w:sz w:val="20"/>
          <w:szCs w:val="20"/>
          <w:color w:val="auto"/>
        </w:rPr>
      </w:pPr>
    </w:p>
    <w:p>
      <w:pPr>
        <w:ind w:left="160" w:firstLine="436"/>
        <w:spacing w:after="0" w:line="271" w:lineRule="auto"/>
        <w:rPr>
          <w:sz w:val="20"/>
          <w:szCs w:val="20"/>
          <w:color w:val="auto"/>
        </w:rPr>
      </w:pPr>
      <w:r>
        <w:rPr>
          <w:rFonts w:ascii="Arial" w:cs="Arial" w:eastAsia="Arial" w:hAnsi="Arial"/>
          <w:sz w:val="18"/>
          <w:szCs w:val="18"/>
          <w:color w:val="auto"/>
        </w:rPr>
        <w:t>“Shutterstock,” “Offset,” “Bigstock,” “Rex Features,” “PremiumBeat” and “Shutterstock Editor” and their logos are registered trademarks and are the property of Shutterstock, Inc. or one of our subsidiaries.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6"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Certain statements in this prospectus, the documents incorporated by reference and our other public statements include “forward-looking statements” within the meaning of the Private Securities Litigation Reform Act of 1995. All statements other than statements of historical fact, including statements regarding guidance, industry prospects or future results of operations or financial position, are forward-looking. Examples of forward-looking statements include, but are not limited to, statements regarding future business, future results of operations or financial condition, future dividends, new or planned features, products or services, management strategies and the COVID-19 pandemic. You can identify many forward-looking statements by words such as “may,” “will,” “would,” “should,” “could,” “expect,” “aim,” “anticipate,” “believe,” “estimate,” “intend,” “plan” and other similar expressions. However, not all forward-looking statements contain these words. Forward-looking statements involve known and unknown risks and uncertainties that could cause our actual results to differ materially from those expressed or implied in the forward-looking statements. Important factors that could affect future results and cause those results to differ materially from those expressed in the forward-looking statements include, but are not limited to:</w:t>
      </w:r>
    </w:p>
    <w:p>
      <w:pPr>
        <w:spacing w:after="0" w:line="86" w:lineRule="exact"/>
        <w:rPr>
          <w:sz w:val="20"/>
          <w:szCs w:val="20"/>
          <w:color w:val="auto"/>
        </w:rPr>
      </w:pPr>
    </w:p>
    <w:p>
      <w:pPr>
        <w:ind w:left="1140" w:right="20" w:hanging="438"/>
        <w:spacing w:after="0" w:line="271"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any changes to or the effects on liabilities, financial condition, future capital expenditures, revenue, expenses, net income or loss, synergies and future prospects;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continue to attract and retain customers and contributors to our online marketplace for creative content;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factors;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innovate technologically or develop, market and offer new products and services;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costs related to litigation or infringement claims, indemnification claims and the inability to prevent misuse of our content;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increase market awareness of Shutterstock and our products and services;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effectively manage our growth;</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grow at historic growth rates or at all;</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technological interruptions that impair access to our websites;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assertions by third parties of infringement of intellectual property rights by Shutterstock;</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effectively manage risks associated with operating internationally;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foreign exchange rate risk;</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address risks associated with sales to large corporate customers;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of the internet;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regulation related to the handling of personal data;</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by governments to restrict access to our products and services;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effectively expand our operations into new products, services and technologies;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protect the confidential information of customers;</w:t>
      </w:r>
    </w:p>
    <w:p>
      <w:pPr>
        <w:spacing w:after="0" w:line="127" w:lineRule="exact"/>
        <w:rPr>
          <w:rFonts w:ascii="Arial" w:cs="Arial" w:eastAsia="Arial" w:hAnsi="Arial"/>
          <w:sz w:val="18"/>
          <w:szCs w:val="18"/>
          <w:color w:val="auto"/>
        </w:rPr>
      </w:pPr>
    </w:p>
    <w:p>
      <w:pPr>
        <w:ind w:left="1140" w:right="640" w:hanging="438"/>
        <w:spacing w:after="0" w:line="271"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tax liabilities associated with our worldwide operations, including our exposure to withholding, sales and transaction tax liabilities;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of the Tax Cuts and Jobs Act of 2017;</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public health crises including the COVID-19 pandemic;</w:t>
      </w:r>
    </w:p>
    <w:p>
      <w:pPr>
        <w:spacing w:after="0" w:line="127" w:lineRule="exact"/>
        <w:rPr>
          <w:rFonts w:ascii="Arial" w:cs="Arial" w:eastAsia="Arial" w:hAnsi="Arial"/>
          <w:sz w:val="18"/>
          <w:szCs w:val="18"/>
          <w:color w:val="auto"/>
        </w:rPr>
      </w:pPr>
    </w:p>
    <w:p>
      <w:pPr>
        <w:ind w:left="1140" w:right="80" w:hanging="438"/>
        <w:spacing w:after="0" w:line="271"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and political conditions worldwide, including disruption and volatility caused by COVID-19 and the resulting economic contraction;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successfully integrate acquisitions and the associated technology and achieve operational efficiencies.</w:t>
      </w:r>
    </w:p>
    <w:p>
      <w:pPr>
        <w:spacing w:after="0" w:line="221" w:lineRule="exact"/>
        <w:rPr>
          <w:sz w:val="20"/>
          <w:szCs w:val="20"/>
          <w:color w:val="auto"/>
        </w:rPr>
      </w:pPr>
    </w:p>
    <w:p>
      <w:pPr>
        <w:ind w:left="160" w:right="20" w:firstLine="436"/>
        <w:spacing w:after="0" w:line="270" w:lineRule="auto"/>
        <w:rPr>
          <w:sz w:val="20"/>
          <w:szCs w:val="20"/>
          <w:color w:val="auto"/>
        </w:rPr>
      </w:pPr>
      <w:r>
        <w:rPr>
          <w:rFonts w:ascii="Arial" w:cs="Arial" w:eastAsia="Arial" w:hAnsi="Arial"/>
          <w:sz w:val="17"/>
          <w:szCs w:val="17"/>
          <w:color w:val="auto"/>
        </w:rPr>
        <w:t>Certain important factors that could cause actual results to differ from our expectations are discussed under “Item 1A. Risk Factors” in our Annual Report on Form 10-K for the fiscal year ended December 31, 2019, filed with the SEC on February 13, 2020, and our Quarterly Report on Form 10-Q for the quarter ended March 31, 2020, filed with the SEC on April 28, 2020 (which documents are incorporated by reference herein), as well as other risk factors described under the caption “Risk Factors” in any accompanying prospectus supplement and in other filings we may make from time to time with the SEC. These factors should not be construed as exhaustive and should be read with the other cautionary statements in this prospectus and the documents incorporated by reference herein.</w:t>
      </w:r>
    </w:p>
    <w:p>
      <w:pPr>
        <w:spacing w:after="0" w:line="178" w:lineRule="exact"/>
        <w:rPr>
          <w:sz w:val="20"/>
          <w:szCs w:val="20"/>
          <w:color w:val="auto"/>
        </w:rPr>
      </w:pPr>
    </w:p>
    <w:p>
      <w:pPr>
        <w:ind w:left="160" w:right="40" w:firstLine="436"/>
        <w:spacing w:after="0" w:line="287" w:lineRule="auto"/>
        <w:rPr>
          <w:sz w:val="20"/>
          <w:szCs w:val="20"/>
          <w:color w:val="auto"/>
        </w:rPr>
      </w:pPr>
      <w:r>
        <w:rPr>
          <w:rFonts w:ascii="Arial" w:cs="Arial" w:eastAsia="Arial" w:hAnsi="Arial"/>
          <w:sz w:val="16"/>
          <w:szCs w:val="16"/>
          <w:color w:val="auto"/>
        </w:rPr>
        <w:t>Forward-looking statements in this prospectus or the documents incorporated by reference speak only as of the date of this prospectus or the applicable document incorporated by reference (or such earlier date as may be specified in the applicable document), as applicable, are based on assumptions and expectations as of such dates, and involve risks, uncertainties and assumptions, many of which are beyond our ability to control or predict, including the factors above. Given these risks and uncertainties, readers are cautioned not to place undue reliance on any forward-looking statements. We do not intend, and, except as required by law, we undertake no obligation, to update any of our forward-looking statements after the date of this prospectus to reflect actual results or future events or circumstances. If we update one or more forward-looking statements, no inference should be drawn that we will make additional updates with respect to those or other forward-looking statements. For more information, see the section entitled “Where You Can Find More Information.” The results presented for any period may not be reflective of results for any subsequent period.</w:t>
      </w:r>
    </w:p>
    <w:p>
      <w:pPr>
        <w:spacing w:after="0" w:line="166"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6"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60" w:firstLine="436"/>
        <w:spacing w:after="0" w:line="268" w:lineRule="auto"/>
        <w:rPr>
          <w:sz w:val="20"/>
          <w:szCs w:val="20"/>
          <w:color w:val="auto"/>
        </w:rPr>
      </w:pPr>
      <w:r>
        <w:rPr>
          <w:rFonts w:ascii="Arial" w:cs="Arial" w:eastAsia="Arial" w:hAnsi="Arial"/>
          <w:sz w:val="17"/>
          <w:szCs w:val="17"/>
          <w:color w:val="auto"/>
        </w:rPr>
        <w:t>Investing in our common stock involves a high degree of risk. Before deciding to invest in our common stock, you should carefully consider the risks set forth under “Item 1A. Risk Factors” in each of our Annual Report on Form 10-K for the fiscal year ended December 31, 2019, filed with the SEC on February 13, 2020, and our Quarterly Report on Form 10-Q for the quarter ended March 31, 2020, filed with the SEC on April 28, 2020 (which documents are incorporated by reference herein), as well as other risk factors described under the caption “Risk Factors” in any accompanying prospectus supplement and in other filings we may make from time to time with the SEC. See “Information Incorporated By Reference” and “Where You Can Find More Information.” If any of the risks discussed in the foregoing documents were actually to occur, our business, financial condition, results of operations and prospects could be materially adversely affected. See also the information contained under the heading “Cautionary Note Regarding Forward-Looking Statements” above.</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320" w:top="456" w:right="5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Unless otherwise indicated in the applicable prospectus supplement, we expect to use the net proceeds from the sale of common stock by us described in this prospectus for general corporate purposes. We will not receive any of the proceeds from the sale of common stock being offered by any selling stockholders.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6"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CAPITAL STOCK</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160" w:right="40" w:firstLine="436"/>
        <w:spacing w:after="0" w:line="293" w:lineRule="auto"/>
        <w:rPr>
          <w:sz w:val="20"/>
          <w:szCs w:val="20"/>
          <w:color w:val="auto"/>
        </w:rPr>
      </w:pPr>
      <w:r>
        <w:rPr>
          <w:rFonts w:ascii="Arial" w:cs="Arial" w:eastAsia="Arial" w:hAnsi="Arial"/>
          <w:sz w:val="16"/>
          <w:szCs w:val="16"/>
          <w:color w:val="auto"/>
        </w:rPr>
        <w:t>The following descriptions of our common stock and certain provisions of our amended and restated certificate of incorporation and amended and restated bylaws are summaries and are qualified by reference to our amended and restated certificate of incorporation and our amended and restated bylaws, copies of which are included or incorporated by reference as exhibits to the registration statement of which this prospectus forms a part. See “Where You Can Find More Information.” We encourage you to read our amended and restated certificate of incorporation, our amended and restated bylaws and the applicable provisions of the Delaware General Corporation Law for additional information.</w:t>
      </w:r>
    </w:p>
    <w:p>
      <w:pPr>
        <w:spacing w:after="0" w:line="161" w:lineRule="exact"/>
        <w:rPr>
          <w:sz w:val="20"/>
          <w:szCs w:val="20"/>
          <w:color w:val="auto"/>
        </w:rPr>
      </w:pPr>
    </w:p>
    <w:p>
      <w:pPr>
        <w:ind w:left="160" w:right="280" w:firstLine="436"/>
        <w:spacing w:after="0" w:line="271" w:lineRule="auto"/>
        <w:rPr>
          <w:sz w:val="20"/>
          <w:szCs w:val="20"/>
          <w:color w:val="auto"/>
        </w:rPr>
      </w:pPr>
      <w:r>
        <w:rPr>
          <w:rFonts w:ascii="Arial" w:cs="Arial" w:eastAsia="Arial" w:hAnsi="Arial"/>
          <w:sz w:val="18"/>
          <w:szCs w:val="18"/>
          <w:color w:val="auto"/>
        </w:rPr>
        <w:t>Our authorized capital stock consists of 200,000,000 shares of common stock, $0.01 par value per share, and 5,000,000 shares of undesignated preferred stock, $0.01 par value per share.</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holders of our common stock are entitled to one vote for each share held of record on all matters submitted to a vote of the stockholders.</w:t>
      </w:r>
    </w:p>
    <w:p>
      <w:pPr>
        <w:spacing w:after="0" w:line="244" w:lineRule="exact"/>
        <w:rPr>
          <w:sz w:val="20"/>
          <w:szCs w:val="20"/>
          <w:color w:val="auto"/>
        </w:rPr>
      </w:pPr>
    </w:p>
    <w:p>
      <w:pPr>
        <w:ind w:left="160" w:right="60" w:firstLine="436"/>
        <w:spacing w:after="0" w:line="271" w:lineRule="auto"/>
        <w:rPr>
          <w:sz w:val="20"/>
          <w:szCs w:val="20"/>
          <w:color w:val="auto"/>
        </w:rPr>
      </w:pPr>
      <w:r>
        <w:rPr>
          <w:rFonts w:ascii="Arial" w:cs="Arial" w:eastAsia="Arial" w:hAnsi="Arial"/>
          <w:sz w:val="18"/>
          <w:szCs w:val="18"/>
          <w:color w:val="auto"/>
        </w:rPr>
        <w:t>Subject to preferences that may be applicable to any outstanding preferred stock, holders of our common stock are entitled to receive ratably such dividends as may be declared by the board of directors out of funds legally available for that purpose.</w:t>
      </w:r>
    </w:p>
    <w:p>
      <w:pPr>
        <w:spacing w:after="0" w:line="175" w:lineRule="exact"/>
        <w:rPr>
          <w:sz w:val="20"/>
          <w:szCs w:val="20"/>
          <w:color w:val="auto"/>
        </w:rPr>
      </w:pPr>
    </w:p>
    <w:p>
      <w:pPr>
        <w:ind w:left="160" w:firstLine="436"/>
        <w:spacing w:after="0" w:line="275" w:lineRule="auto"/>
        <w:rPr>
          <w:sz w:val="20"/>
          <w:szCs w:val="20"/>
          <w:color w:val="auto"/>
        </w:rPr>
      </w:pPr>
      <w:r>
        <w:rPr>
          <w:rFonts w:ascii="Arial" w:cs="Arial" w:eastAsia="Arial" w:hAnsi="Arial"/>
          <w:sz w:val="17"/>
          <w:szCs w:val="17"/>
          <w:color w:val="auto"/>
        </w:rPr>
        <w:t>In the event of our liquidation, dissolution or winding up, the holders of our common stock are entitled to share ratably in all assets remaining after payment of liabilities, subject to the prior distribution rights of any outstanding preferred stock. Our common stock is not subject to calls or assessments by us. Our common stock carries no preemptive, conversion or subscription rights. No redemption or sinking fund provisions are applicable to our common stock. The outstanding shares of our common stock are fully paid and non-assessable.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18" w:lineRule="exact"/>
        <w:rPr>
          <w:sz w:val="20"/>
          <w:szCs w:val="20"/>
          <w:color w:val="auto"/>
        </w:rPr>
      </w:pPr>
    </w:p>
    <w:p>
      <w:pPr>
        <w:ind w:left="160" w:firstLine="436"/>
        <w:spacing w:after="0" w:line="252" w:lineRule="auto"/>
        <w:rPr>
          <w:sz w:val="20"/>
          <w:szCs w:val="20"/>
          <w:color w:val="auto"/>
        </w:rPr>
      </w:pPr>
      <w:r>
        <w:rPr>
          <w:rFonts w:ascii="Arial" w:cs="Arial" w:eastAsia="Arial" w:hAnsi="Arial"/>
          <w:sz w:val="18"/>
          <w:szCs w:val="18"/>
          <w:color w:val="auto"/>
        </w:rPr>
        <w:t>Our amended and restated certificate of incorporation and our amended and restated bylaws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4" w:lineRule="exact"/>
        <w:rPr>
          <w:sz w:val="20"/>
          <w:szCs w:val="20"/>
          <w:color w:val="auto"/>
        </w:rPr>
      </w:pPr>
    </w:p>
    <w:p>
      <w:pPr>
        <w:ind w:left="160" w:firstLine="436"/>
        <w:spacing w:after="0" w:line="267" w:lineRule="auto"/>
        <w:rPr>
          <w:sz w:val="20"/>
          <w:szCs w:val="20"/>
          <w:color w:val="auto"/>
        </w:rPr>
      </w:pPr>
      <w:r>
        <w:rPr>
          <w:rFonts w:ascii="Arial" w:cs="Arial" w:eastAsia="Arial" w:hAnsi="Arial"/>
          <w:sz w:val="17"/>
          <w:szCs w:val="17"/>
          <w:color w:val="auto"/>
        </w:rPr>
        <w:t>There are no shares of preferred stock outstanding. Under our amended and restated certificate of incorporation, our board of directors has the authority, without further action by the stockholders, to issue up to 5,000,000 shares of preferred stock, $0.01 par value, in one or more series. Our board of directors also has the authority to fix the designation, powers, preferences and rights of each such series, including dividend rights, dividend rates, conversion rights, voting rights, terms of redemption, redemption prices, liquidation preferences and the number of shares constituting any series. As a result, our board of directors has the ability to issue preferred stock with voting or other rights or preferences that could impede the success of any attempt to change control of us. This ability, or the issuance of any such shares of preferred stock, may have the effect of deterring hostile takeovers or delaying changes in control or management of our company. The issuance of preferred stock with voting and conversion rights may also adversely affect the voting power of the holders of our common stock. In certain circumstances, an issuance of preferred stock could have the effect of decreasing the market price of our common stock.</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320" w:top="456"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Limits on Ability of Stockholders to Act by Written Consent or Call a Special Meeting</w:t>
      </w:r>
    </w:p>
    <w:p>
      <w:pPr>
        <w:spacing w:after="0" w:line="114" w:lineRule="exact"/>
        <w:rPr>
          <w:sz w:val="20"/>
          <w:szCs w:val="20"/>
          <w:color w:val="auto"/>
        </w:rPr>
      </w:pPr>
    </w:p>
    <w:p>
      <w:pPr>
        <w:ind w:left="160" w:right="240" w:firstLine="436"/>
        <w:spacing w:after="0" w:line="255" w:lineRule="auto"/>
        <w:rPr>
          <w:sz w:val="20"/>
          <w:szCs w:val="20"/>
          <w:color w:val="auto"/>
        </w:rPr>
      </w:pPr>
      <w:r>
        <w:rPr>
          <w:rFonts w:ascii="Arial" w:cs="Arial" w:eastAsia="Arial" w:hAnsi="Arial"/>
          <w:sz w:val="18"/>
          <w:szCs w:val="18"/>
          <w:color w:val="auto"/>
        </w:rPr>
        <w:t>Our amended and restated certificate of incorporation provides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w:t>
      </w:r>
    </w:p>
    <w:p>
      <w:pPr>
        <w:spacing w:after="0" w:line="190" w:lineRule="exact"/>
        <w:rPr>
          <w:sz w:val="20"/>
          <w:szCs w:val="20"/>
          <w:color w:val="auto"/>
        </w:rPr>
      </w:pPr>
    </w:p>
    <w:p>
      <w:pPr>
        <w:ind w:left="160" w:right="180" w:firstLine="436"/>
        <w:spacing w:after="0" w:line="255" w:lineRule="auto"/>
        <w:rPr>
          <w:sz w:val="20"/>
          <w:szCs w:val="20"/>
          <w:color w:val="auto"/>
        </w:rPr>
      </w:pPr>
      <w:r>
        <w:rPr>
          <w:rFonts w:ascii="Arial" w:cs="Arial" w:eastAsia="Arial" w:hAnsi="Arial"/>
          <w:sz w:val="18"/>
          <w:szCs w:val="18"/>
          <w:color w:val="auto"/>
        </w:rPr>
        <w:t>In addition, our amended and restated bylaws provide that special meetings of the stockholders may be called only by the chairperson of the board, our chief executive officer, our president (in the absence of a chief executive officer) or a majority of our board of directors. Stockholders may not call a special meeting, which may delay the ability of our stockholders to force consideration of a proposal or for holders controlling a majority of our capital stock to take any action, including the removal of directors.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4" w:lineRule="exact"/>
        <w:rPr>
          <w:sz w:val="20"/>
          <w:szCs w:val="20"/>
          <w:color w:val="auto"/>
        </w:rPr>
      </w:pPr>
    </w:p>
    <w:p>
      <w:pPr>
        <w:ind w:left="160" w:firstLine="436"/>
        <w:spacing w:after="0" w:line="253" w:lineRule="auto"/>
        <w:rPr>
          <w:sz w:val="20"/>
          <w:szCs w:val="20"/>
          <w:color w:val="auto"/>
        </w:rPr>
      </w:pPr>
      <w:r>
        <w:rPr>
          <w:rFonts w:ascii="Arial" w:cs="Arial" w:eastAsia="Arial" w:hAnsi="Arial"/>
          <w:sz w:val="18"/>
          <w:szCs w:val="18"/>
          <w:color w:val="auto"/>
        </w:rPr>
        <w:t>Our bylaws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Board Classification</w:t>
      </w:r>
    </w:p>
    <w:p>
      <w:pPr>
        <w:spacing w:after="0" w:line="114" w:lineRule="exact"/>
        <w:rPr>
          <w:sz w:val="20"/>
          <w:szCs w:val="20"/>
          <w:color w:val="auto"/>
        </w:rPr>
      </w:pPr>
    </w:p>
    <w:p>
      <w:pPr>
        <w:jc w:val="both"/>
        <w:ind w:left="160" w:right="260" w:firstLine="436"/>
        <w:spacing w:after="0" w:line="281" w:lineRule="auto"/>
        <w:rPr>
          <w:sz w:val="20"/>
          <w:szCs w:val="20"/>
          <w:color w:val="auto"/>
        </w:rPr>
      </w:pPr>
      <w:r>
        <w:rPr>
          <w:rFonts w:ascii="Arial" w:cs="Arial" w:eastAsia="Arial" w:hAnsi="Arial"/>
          <w:sz w:val="17"/>
          <w:szCs w:val="17"/>
          <w:color w:val="auto"/>
        </w:rPr>
        <w:t>Our board of directors is divided into three classes, one class of which is elected each year by our stockholders. The directors in each class are elected for a three-year term. A third party may be discouraged from making a tender offer or otherwise attempting to take control of us as it is more difficult and time-consuming for stockholders to replace a majority of the directors on a classified board.</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4" w:lineRule="exact"/>
        <w:rPr>
          <w:sz w:val="20"/>
          <w:szCs w:val="20"/>
          <w:color w:val="auto"/>
        </w:rPr>
      </w:pPr>
    </w:p>
    <w:p>
      <w:pPr>
        <w:ind w:left="160" w:right="20" w:firstLine="436"/>
        <w:spacing w:after="0" w:line="253" w:lineRule="auto"/>
        <w:rPr>
          <w:sz w:val="20"/>
          <w:szCs w:val="20"/>
          <w:color w:val="auto"/>
        </w:rPr>
      </w:pPr>
      <w:r>
        <w:rPr>
          <w:rFonts w:ascii="Arial" w:cs="Arial" w:eastAsia="Arial" w:hAnsi="Arial"/>
          <w:sz w:val="18"/>
          <w:szCs w:val="18"/>
          <w:color w:val="auto"/>
        </w:rPr>
        <w:t>Our amended and restated certificate of incorporation does not permit cumulative voting in the election of directors. Cumulative voting would allow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4" w:lineRule="exact"/>
        <w:rPr>
          <w:sz w:val="20"/>
          <w:szCs w:val="20"/>
          <w:color w:val="auto"/>
        </w:rPr>
      </w:pPr>
    </w:p>
    <w:p>
      <w:pPr>
        <w:ind w:left="160" w:right="160" w:firstLine="436"/>
        <w:spacing w:after="0" w:line="253" w:lineRule="auto"/>
        <w:rPr>
          <w:sz w:val="20"/>
          <w:szCs w:val="20"/>
          <w:color w:val="auto"/>
        </w:rPr>
      </w:pPr>
      <w:r>
        <w:rPr>
          <w:rFonts w:ascii="Arial" w:cs="Arial" w:eastAsia="Arial" w:hAnsi="Arial"/>
          <w:sz w:val="18"/>
          <w:szCs w:val="18"/>
          <w:color w:val="auto"/>
        </w:rPr>
        <w:t>The amendment of our amended and restated certificate of incorporation generally requires approval by holders of at least two-thirds of our outstanding capital stock entitled to vote generally in the election of directors. The amendment of our amended and restated bylaws generally requires approval by holders of at least two-thirds of our outstanding capital stock entitled to vote generally in the election of directors. These supermajority voting requirements may make it more difficult for a third party to alter the provisions of our amended and restated certificate of incorporation or our amended and restated bylaws to enable a takeover.</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4"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Section 203 generally prohibits a Delaware corporation from engaging in a business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6"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combination with an interested stockholder for a period of three years following the date the person became an interested stockholder, unless:</w:t>
      </w:r>
    </w:p>
    <w:p>
      <w:pPr>
        <w:spacing w:after="0" w:line="139" w:lineRule="exact"/>
        <w:rPr>
          <w:sz w:val="20"/>
          <w:szCs w:val="20"/>
          <w:color w:val="auto"/>
        </w:rPr>
      </w:pPr>
    </w:p>
    <w:p>
      <w:pPr>
        <w:ind w:left="1140" w:right="6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approved either the business combination or the transaction which resulted in the stockholder becoming an interested stockholder;</w:t>
      </w:r>
    </w:p>
    <w:p>
      <w:pPr>
        <w:spacing w:after="0" w:line="80" w:lineRule="exact"/>
        <w:rPr>
          <w:rFonts w:ascii="Arial" w:cs="Arial" w:eastAsia="Arial" w:hAnsi="Arial"/>
          <w:sz w:val="18"/>
          <w:szCs w:val="18"/>
          <w:color w:val="auto"/>
        </w:rPr>
      </w:pPr>
    </w:p>
    <w:p>
      <w:pPr>
        <w:ind w:left="1140" w:right="120" w:hanging="438"/>
        <w:spacing w:after="0" w:line="275"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employee stock plans in which participants do not have the right to determine confidentially whether shares held subject to the plan will be tendered in a tender or exchange offer; or</w:t>
      </w:r>
    </w:p>
    <w:p>
      <w:pPr>
        <w:spacing w:after="0" w:line="80" w:lineRule="exact"/>
        <w:rPr>
          <w:rFonts w:ascii="Arial" w:cs="Arial" w:eastAsia="Arial" w:hAnsi="Arial"/>
          <w:sz w:val="17"/>
          <w:szCs w:val="17"/>
          <w:color w:val="auto"/>
        </w:rPr>
      </w:pPr>
    </w:p>
    <w:p>
      <w:pPr>
        <w:ind w:left="1140" w:hanging="438"/>
        <w:spacing w:after="0" w:line="259"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and authorized at an annual or special meeting of stockholders, and not by written consent, by the affirmative vote of at least two-thirds of the outstanding voting stock which is not owned by the interested stockholder.</w:t>
      </w:r>
    </w:p>
    <w:p>
      <w:pPr>
        <w:spacing w:after="0" w:line="186" w:lineRule="exact"/>
        <w:rPr>
          <w:sz w:val="20"/>
          <w:szCs w:val="20"/>
          <w:color w:val="auto"/>
        </w:rPr>
      </w:pPr>
    </w:p>
    <w:p>
      <w:pPr>
        <w:ind w:left="160" w:right="40" w:firstLine="436"/>
        <w:spacing w:after="0" w:line="286" w:lineRule="auto"/>
        <w:rPr>
          <w:sz w:val="20"/>
          <w:szCs w:val="20"/>
          <w:color w:val="auto"/>
        </w:rPr>
      </w:pPr>
      <w:r>
        <w:rPr>
          <w:rFonts w:ascii="Arial" w:cs="Arial" w:eastAsia="Arial" w:hAnsi="Arial"/>
          <w:sz w:val="16"/>
          <w:szCs w:val="16"/>
          <w:color w:val="auto"/>
        </w:rPr>
        <w:t>Business combinations are broadly defined to include (i) mergers or consolidations with, (ii) sales or other dispositions of more than 10% of the corporation’s assets to, (iii) certain transactions resulting in the issuance or transfer of any stock of the corporation or any subsidiary to, (iv) certain transactions resulting in an increase in the proportionate share of stock of the corporation or any subsidiary owned by, or (v) receipt of the benefit (other than proportionately as a stockholder) of any loans, advances or other financial benefits by, an interested stockholder. 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 The existence of this provision may have an anti-takeover effect with respect to transactions not approved in advance by our board of directors. Section 203 may also discourage takeover attempts that might result in a premium over the market price for the shares of our common stock held by stockholders.</w:t>
      </w:r>
    </w:p>
    <w:p>
      <w:pPr>
        <w:spacing w:after="0" w:line="167" w:lineRule="exact"/>
        <w:rPr>
          <w:sz w:val="20"/>
          <w:szCs w:val="20"/>
          <w:color w:val="auto"/>
        </w:rPr>
      </w:pPr>
    </w:p>
    <w:p>
      <w:pPr>
        <w:ind w:left="160" w:right="80" w:firstLine="436"/>
        <w:spacing w:after="0" w:line="253" w:lineRule="auto"/>
        <w:rPr>
          <w:sz w:val="20"/>
          <w:szCs w:val="20"/>
          <w:color w:val="auto"/>
        </w:rPr>
      </w:pPr>
      <w:r>
        <w:rPr>
          <w:rFonts w:ascii="Arial" w:cs="Arial" w:eastAsia="Arial" w:hAnsi="Arial"/>
          <w:sz w:val="18"/>
          <w:szCs w:val="18"/>
          <w:color w:val="auto"/>
        </w:rPr>
        <w:t>The provisions of Delaware law and the provisions of our amended and restated certificate of incorporation and amended and restated bylaws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 Listing</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common stock is listed on the New York Stock Exchange under the symbol “SSTK.”</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 Agent and Registrar</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6"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SELLING STOCKHOLDERS</w:t>
      </w:r>
    </w:p>
    <w:p>
      <w:pPr>
        <w:spacing w:after="0" w:line="225" w:lineRule="exact"/>
        <w:rPr>
          <w:sz w:val="20"/>
          <w:szCs w:val="20"/>
          <w:color w:val="auto"/>
        </w:rPr>
      </w:pPr>
    </w:p>
    <w:p>
      <w:pPr>
        <w:ind w:left="160" w:firstLine="436"/>
        <w:spacing w:after="0" w:line="255" w:lineRule="auto"/>
        <w:rPr>
          <w:sz w:val="20"/>
          <w:szCs w:val="20"/>
          <w:color w:val="auto"/>
        </w:rPr>
      </w:pPr>
      <w:r>
        <w:rPr>
          <w:rFonts w:ascii="Arial" w:cs="Arial" w:eastAsia="Arial" w:hAnsi="Arial"/>
          <w:sz w:val="18"/>
          <w:szCs w:val="18"/>
          <w:color w:val="auto"/>
        </w:rPr>
        <w:t>Selling stockholders may from time to time offer and sell our common stock pursuant to this prospectus and any applicable prospectus supplement. Selling stockholders are persons or entities that, directly or indirectly, have acquired or from time to time acquire, our common stock. Such selling stockholders may be parties to registration rights agreements with us, or we otherwise may have agreed or agree to register their common stock for resale.</w:t>
      </w:r>
    </w:p>
    <w:p>
      <w:pPr>
        <w:spacing w:after="0" w:line="190" w:lineRule="exact"/>
        <w:rPr>
          <w:sz w:val="20"/>
          <w:szCs w:val="20"/>
          <w:color w:val="auto"/>
        </w:rPr>
      </w:pPr>
    </w:p>
    <w:p>
      <w:pPr>
        <w:ind w:left="160" w:right="420" w:firstLine="436"/>
        <w:spacing w:after="0" w:line="271" w:lineRule="auto"/>
        <w:rPr>
          <w:sz w:val="20"/>
          <w:szCs w:val="20"/>
          <w:color w:val="auto"/>
        </w:rPr>
      </w:pPr>
      <w:r>
        <w:rPr>
          <w:rFonts w:ascii="Arial" w:cs="Arial" w:eastAsia="Arial" w:hAnsi="Arial"/>
          <w:sz w:val="18"/>
          <w:szCs w:val="18"/>
          <w:color w:val="auto"/>
        </w:rPr>
        <w:t>The applicable prospectus supplement will set forth the name of each of the selling stockholders and the number of shares of common stock beneficially owned by such selling stockholders that are covered by such prospectus supplement.</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320" w:top="456" w:right="5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160" w:right="140" w:firstLine="436"/>
        <w:spacing w:after="0" w:line="271" w:lineRule="auto"/>
        <w:rPr>
          <w:sz w:val="20"/>
          <w:szCs w:val="20"/>
          <w:color w:val="auto"/>
        </w:rPr>
      </w:pPr>
      <w:r>
        <w:rPr>
          <w:rFonts w:ascii="Arial" w:cs="Arial" w:eastAsia="Arial" w:hAnsi="Arial"/>
          <w:sz w:val="18"/>
          <w:szCs w:val="18"/>
          <w:color w:val="auto"/>
        </w:rPr>
        <w:t>We or selling stockholders may sell the shares of common stock covered by this prospectus from time to time using one or more of the following methods:</w:t>
      </w:r>
    </w:p>
    <w:p>
      <w:pPr>
        <w:spacing w:after="0" w:line="81" w:lineRule="exact"/>
        <w:rPr>
          <w:sz w:val="20"/>
          <w:szCs w:val="20"/>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underwritten public offerings;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market” sales to or through market makers or into an existing market for our common stock;</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27" w:lineRule="exact"/>
        <w:rPr>
          <w:rFonts w:ascii="Arial" w:cs="Arial" w:eastAsia="Arial" w:hAnsi="Arial"/>
          <w:sz w:val="18"/>
          <w:szCs w:val="18"/>
          <w:color w:val="auto"/>
        </w:rPr>
      </w:pPr>
    </w:p>
    <w:p>
      <w:pPr>
        <w:ind w:left="1140" w:hanging="438"/>
        <w:spacing w:after="0" w:line="271"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of common stock as agent but may position and resell a portion of the block as principal to facilitate the transaction;</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 sales (including short sales “against the box”);</w:t>
      </w:r>
    </w:p>
    <w:p>
      <w:pPr>
        <w:spacing w:after="0" w:line="127" w:lineRule="exact"/>
        <w:rPr>
          <w:rFonts w:ascii="Arial" w:cs="Arial" w:eastAsia="Arial" w:hAnsi="Arial"/>
          <w:sz w:val="18"/>
          <w:szCs w:val="18"/>
          <w:color w:val="auto"/>
        </w:rPr>
      </w:pPr>
    </w:p>
    <w:p>
      <w:pPr>
        <w:ind w:left="1140" w:right="140" w:hanging="438"/>
        <w:spacing w:after="0" w:line="271"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writing or settlement of standardized or over-the-counter options or other hedging or derivative transactions, whether through an options exchange or otherwise;</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pledge to secure debts and other obligations;</w:t>
      </w:r>
    </w:p>
    <w:p>
      <w:pPr>
        <w:spacing w:after="0" w:line="127" w:lineRule="exact"/>
        <w:rPr>
          <w:rFonts w:ascii="Arial" w:cs="Arial" w:eastAsia="Arial" w:hAnsi="Arial"/>
          <w:sz w:val="18"/>
          <w:szCs w:val="18"/>
          <w:color w:val="auto"/>
        </w:rPr>
      </w:pPr>
    </w:p>
    <w:p>
      <w:pPr>
        <w:ind w:left="1140" w:right="320" w:hanging="438"/>
        <w:spacing w:after="0" w:line="271"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other ways not involving market makers or established trading markets, including direct sales to purchasers or sales effected through agents;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1" w:lineRule="exact"/>
        <w:rPr>
          <w:sz w:val="20"/>
          <w:szCs w:val="20"/>
          <w:color w:val="auto"/>
        </w:rPr>
      </w:pPr>
    </w:p>
    <w:p>
      <w:pPr>
        <w:ind w:left="160" w:right="120" w:firstLine="436"/>
        <w:spacing w:after="0" w:line="335" w:lineRule="auto"/>
        <w:rPr>
          <w:sz w:val="20"/>
          <w:szCs w:val="20"/>
          <w:color w:val="auto"/>
        </w:rPr>
      </w:pPr>
      <w:r>
        <w:rPr>
          <w:rFonts w:ascii="Arial" w:cs="Arial" w:eastAsia="Arial" w:hAnsi="Arial"/>
          <w:sz w:val="16"/>
          <w:szCs w:val="16"/>
          <w:color w:val="auto"/>
        </w:rPr>
        <w:t>To the extent required by law, this prospectus may be amended or supplemented from time to time to describe a specific plan of distribution. Any prospectus supplement relating to a particular offering of our common stock may include the following information to the extent required by law:</w:t>
      </w:r>
    </w:p>
    <w:p>
      <w:pPr>
        <w:spacing w:after="0" w:line="35" w:lineRule="exact"/>
        <w:rPr>
          <w:sz w:val="20"/>
          <w:szCs w:val="20"/>
          <w:color w:val="auto"/>
        </w:rPr>
      </w:pPr>
    </w:p>
    <w:p>
      <w:pPr>
        <w:ind w:left="1140" w:hanging="438"/>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names of any underwriters, dealers or agents participating in the offering;</w:t>
      </w:r>
    </w:p>
    <w:p>
      <w:pPr>
        <w:spacing w:after="0" w:line="127" w:lineRule="exact"/>
        <w:rPr>
          <w:rFonts w:ascii="Arial" w:cs="Arial" w:eastAsia="Arial" w:hAnsi="Arial"/>
          <w:sz w:val="18"/>
          <w:szCs w:val="18"/>
          <w:color w:val="auto"/>
        </w:rPr>
      </w:pPr>
    </w:p>
    <w:p>
      <w:pPr>
        <w:ind w:left="1140" w:right="20" w:hanging="438"/>
        <w:spacing w:after="0" w:line="271"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price of the shares of common stock sold by us or selling stockholders to any underwriter or dealer and the net proceeds we or such selling stockholders expect to receive from the offering;</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options pursuant to which underwriters may purchase additional shares of common stock from us or selling stockholders;</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securities exchange or market on which our common stock may be listed.</w:t>
      </w:r>
    </w:p>
    <w:p>
      <w:pPr>
        <w:spacing w:after="0" w:line="221" w:lineRule="exact"/>
        <w:rPr>
          <w:sz w:val="20"/>
          <w:szCs w:val="20"/>
          <w:color w:val="auto"/>
        </w:rPr>
      </w:pPr>
    </w:p>
    <w:p>
      <w:pPr>
        <w:jc w:val="both"/>
        <w:ind w:left="160" w:right="220" w:firstLine="436"/>
        <w:spacing w:after="0" w:line="307" w:lineRule="auto"/>
        <w:rPr>
          <w:sz w:val="20"/>
          <w:szCs w:val="20"/>
          <w:color w:val="auto"/>
        </w:rPr>
      </w:pPr>
      <w:r>
        <w:rPr>
          <w:rFonts w:ascii="Arial" w:cs="Arial" w:eastAsia="Arial" w:hAnsi="Arial"/>
          <w:sz w:val="16"/>
          <w:szCs w:val="16"/>
          <w:color w:val="auto"/>
        </w:rPr>
        <w:t>We or selling stockholders may offer our common stock to the public through underwriting syndicates represented by managing underwriters or through underwriters without an underwriting syndicate. If underwriters are used for the sale of shares of our common stock, those shares of common stock will be acquired by the underwriters for their own account. The underwriters may resell our common stock in one or more transactions,</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6"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including in negotiated transactions at a fixed public offering price or at varying prices determined at the time of sale. In connection with any such underwritten sale of our common stock, underwriters may receive compensation from us or selling stockholders in the form of discounts, concessions or commissions. Underwriters may sell shares of our common stock to or through dealers, and the dealers may receive compensation in the form of discounts, concessions or commissions from the underwriters or commissions from the purchasers for whom they may act as agents. Such compensation may be in excess of customary discounts, concessions or commissions.</w:t>
      </w:r>
    </w:p>
    <w:p>
      <w:pPr>
        <w:spacing w:after="0" w:line="193" w:lineRule="exact"/>
        <w:rPr>
          <w:sz w:val="20"/>
          <w:szCs w:val="20"/>
          <w:color w:val="auto"/>
        </w:rPr>
      </w:pPr>
    </w:p>
    <w:p>
      <w:pPr>
        <w:ind w:left="160" w:firstLine="436"/>
        <w:spacing w:after="0" w:line="270" w:lineRule="auto"/>
        <w:rPr>
          <w:sz w:val="20"/>
          <w:szCs w:val="20"/>
          <w:color w:val="auto"/>
        </w:rPr>
      </w:pPr>
      <w:r>
        <w:rPr>
          <w:rFonts w:ascii="Arial" w:cs="Arial" w:eastAsia="Arial" w:hAnsi="Arial"/>
          <w:sz w:val="17"/>
          <w:szCs w:val="17"/>
          <w:color w:val="auto"/>
        </w:rPr>
        <w:t>If we or selling stockholders use an underwriter or underwriters to effectuate the sale of shares of common stock, we or such selling stockholders will execute an underwriting agreement with those underwriters at the time of sale of such shares of common stock. To the extent required by law, the names of the underwriters will be set forth in the prospectus supplement used by the underwriters to sell those shares of common stock. Unless otherwise indicated in the prospectus supplement relating to a particular offering of common stock, the obligations of the underwriters to purchase our common stock from us or selling stockholders will be subject to customary conditions precedent and the underwriters will be obligated to purchase all of the shares of common stock offered if any shares of common stock are purchased.</w:t>
      </w:r>
    </w:p>
    <w:p>
      <w:pPr>
        <w:spacing w:after="0" w:line="178" w:lineRule="exact"/>
        <w:rPr>
          <w:sz w:val="20"/>
          <w:szCs w:val="20"/>
          <w:color w:val="auto"/>
        </w:rPr>
      </w:pPr>
    </w:p>
    <w:p>
      <w:pPr>
        <w:ind w:left="160" w:right="80" w:firstLine="436"/>
        <w:spacing w:after="0" w:line="253" w:lineRule="auto"/>
        <w:rPr>
          <w:sz w:val="20"/>
          <w:szCs w:val="20"/>
          <w:color w:val="auto"/>
        </w:rPr>
      </w:pPr>
      <w:r>
        <w:rPr>
          <w:rFonts w:ascii="Arial" w:cs="Arial" w:eastAsia="Arial" w:hAnsi="Arial"/>
          <w:sz w:val="18"/>
          <w:szCs w:val="18"/>
          <w:color w:val="auto"/>
        </w:rPr>
        <w:t>In effecting sales, brokers or dealers engaged by us or selling stockholders may arrange for other brokers or dealers to participate. Broker-dealers may receive discounts, concessions or commissions from us or selling stockholders (or, if any broker-dealer acts as agent for the purchaser of the shares of common stock, from the purchaser) in amounts to be negotiated. Such compensation may be in excess of customary discounts, concessions or commissions. If dealers are utilized in the sale of shares of our common stock, the names of the dealers and the terms of the transaction will be set forth in a prospectus supplement, if required.</w:t>
      </w:r>
    </w:p>
    <w:p>
      <w:pPr>
        <w:spacing w:after="0" w:line="193" w:lineRule="exact"/>
        <w:rPr>
          <w:sz w:val="20"/>
          <w:szCs w:val="20"/>
          <w:color w:val="auto"/>
        </w:rPr>
      </w:pPr>
    </w:p>
    <w:p>
      <w:pPr>
        <w:ind w:left="160" w:right="40" w:firstLine="436"/>
        <w:spacing w:after="0" w:line="307" w:lineRule="auto"/>
        <w:rPr>
          <w:sz w:val="20"/>
          <w:szCs w:val="20"/>
          <w:color w:val="auto"/>
        </w:rPr>
      </w:pPr>
      <w:r>
        <w:rPr>
          <w:rFonts w:ascii="Arial" w:cs="Arial" w:eastAsia="Arial" w:hAnsi="Arial"/>
          <w:sz w:val="16"/>
          <w:szCs w:val="16"/>
          <w:color w:val="auto"/>
        </w:rPr>
        <w:t>We or selling stockholders may also sell our common stock from time to time through agents. The applicable prospectus supplement will name any agent involved in the offer or sale of such shares of common stock and will list commissions payable to these agents if required. These agents will be acting on a best efforts basis to solicit purchases for the period of their appointment, unless otherwise stated in any applicable prospectus supplement.</w:t>
      </w:r>
    </w:p>
    <w:p>
      <w:pPr>
        <w:spacing w:after="0" w:line="150" w:lineRule="exact"/>
        <w:rPr>
          <w:sz w:val="20"/>
          <w:szCs w:val="20"/>
          <w:color w:val="auto"/>
        </w:rPr>
      </w:pPr>
    </w:p>
    <w:p>
      <w:pPr>
        <w:ind w:left="160" w:right="600" w:firstLine="436"/>
        <w:spacing w:after="0" w:line="271" w:lineRule="auto"/>
        <w:rPr>
          <w:sz w:val="20"/>
          <w:szCs w:val="20"/>
          <w:color w:val="auto"/>
        </w:rPr>
      </w:pPr>
      <w:r>
        <w:rPr>
          <w:rFonts w:ascii="Arial" w:cs="Arial" w:eastAsia="Arial" w:hAnsi="Arial"/>
          <w:sz w:val="18"/>
          <w:szCs w:val="18"/>
          <w:color w:val="auto"/>
        </w:rPr>
        <w:t>We or selling stockholders may sell our common stock directly to purchasers. In this case, we or such selling stockholders may not engage underwriters or agents in the offer and sale of such shares of common stock.</w:t>
      </w:r>
    </w:p>
    <w:p>
      <w:pPr>
        <w:spacing w:after="0" w:line="175" w:lineRule="exact"/>
        <w:rPr>
          <w:sz w:val="20"/>
          <w:szCs w:val="20"/>
          <w:color w:val="auto"/>
        </w:rPr>
      </w:pPr>
    </w:p>
    <w:p>
      <w:pPr>
        <w:ind w:left="160" w:right="40" w:firstLine="436"/>
        <w:spacing w:after="0" w:line="269" w:lineRule="auto"/>
        <w:rPr>
          <w:sz w:val="20"/>
          <w:szCs w:val="20"/>
          <w:color w:val="auto"/>
        </w:rPr>
      </w:pPr>
      <w:r>
        <w:rPr>
          <w:rFonts w:ascii="Arial" w:cs="Arial" w:eastAsia="Arial" w:hAnsi="Arial"/>
          <w:sz w:val="17"/>
          <w:szCs w:val="17"/>
          <w:color w:val="auto"/>
        </w:rPr>
        <w:t>Selling stockholders and any underwriters, broker-dealers or agents that participate in the sale of any such common stock or interests therein may be “underwriters” within the meaning of the Securities Act. Any discounts, commissions, concessions or profit they earn on any resale of common stock may be underwriting discounts and commissions under the Securities Act. Selling stockholders who are “underwriters” within the meaning of the Securities Act will be subject to the prospectus delivery requirements of the Securities Act. We will make copies of this prospectus available to any selling stockholder for the purpose of satisfying the prospectus delivery requirements of the Securities Act, if applicable. If any entity is deemed an underwriter or any amounts are deemed underwriting discounts and commissions, the prospectus supplement will identify the underwriter or agent and describe the compensation received from any selling stockholder.</w:t>
      </w:r>
    </w:p>
    <w:p>
      <w:pPr>
        <w:spacing w:after="0" w:line="178" w:lineRule="exact"/>
        <w:rPr>
          <w:sz w:val="20"/>
          <w:szCs w:val="20"/>
          <w:color w:val="auto"/>
        </w:rPr>
      </w:pPr>
    </w:p>
    <w:p>
      <w:pPr>
        <w:ind w:left="160" w:right="60" w:firstLine="436"/>
        <w:spacing w:after="0" w:line="252" w:lineRule="auto"/>
        <w:rPr>
          <w:sz w:val="20"/>
          <w:szCs w:val="20"/>
          <w:color w:val="auto"/>
        </w:rPr>
      </w:pPr>
      <w:r>
        <w:rPr>
          <w:rFonts w:ascii="Arial" w:cs="Arial" w:eastAsia="Arial" w:hAnsi="Arial"/>
          <w:sz w:val="18"/>
          <w:szCs w:val="18"/>
          <w:color w:val="auto"/>
        </w:rPr>
        <w:t>From time to time, any selling stockholder may pledge, hypothecate or grant a security interest in some or all of the common stock owned by it. The pledgees, secured parties or persons to whom the shares have been hypothecated will, upon foreclosure, be deemed to be selling stockholders. The number of shares of a selling stockholder’s common stock offered under this prospectus will decrease as and when it takes such actions. The plan of distribution for that selling stockholder’s common stock will otherwise remain unchanged. In addition, a selling stockholder may, from time to time, sell short, and, in those instances, this prospectus may be delivered in connection with the short sales and the common stock offered under this prospectus may be used to cover short sales.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6"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80" w:firstLine="436"/>
        <w:spacing w:after="0" w:line="297" w:lineRule="auto"/>
        <w:rPr>
          <w:sz w:val="20"/>
          <w:szCs w:val="20"/>
          <w:color w:val="auto"/>
        </w:rPr>
      </w:pPr>
      <w:r>
        <w:rPr>
          <w:rFonts w:ascii="Arial" w:cs="Arial" w:eastAsia="Arial" w:hAnsi="Arial"/>
          <w:sz w:val="16"/>
          <w:szCs w:val="16"/>
          <w:color w:val="auto"/>
        </w:rPr>
        <w:t>Any selling stockholder may enter into hedging transactions with broker-dealers and the broker-dealers may engage in short sales of our common stock in the course of hedging the positions they assume with such selling stockholder, including, without limitation, in connection with distributions of common stock by those broker-dealers. Any selling stockholder may enter into option or other transactions with broker-dealers that involve the delivery of common stock offered hereby to the broker-dealers, who may then resell or otherwise transfer such shares of common stock.</w:t>
      </w:r>
    </w:p>
    <w:p>
      <w:pPr>
        <w:spacing w:after="0" w:line="159" w:lineRule="exact"/>
        <w:rPr>
          <w:sz w:val="20"/>
          <w:szCs w:val="20"/>
          <w:color w:val="auto"/>
        </w:rPr>
      </w:pPr>
    </w:p>
    <w:p>
      <w:pPr>
        <w:ind w:left="160" w:right="40" w:firstLine="436"/>
        <w:spacing w:after="0" w:line="251" w:lineRule="auto"/>
        <w:rPr>
          <w:sz w:val="20"/>
          <w:szCs w:val="20"/>
          <w:color w:val="auto"/>
        </w:rPr>
      </w:pPr>
      <w:r>
        <w:rPr>
          <w:rFonts w:ascii="Arial" w:cs="Arial" w:eastAsia="Arial" w:hAnsi="Arial"/>
          <w:sz w:val="18"/>
          <w:szCs w:val="18"/>
          <w:color w:val="auto"/>
        </w:rPr>
        <w:t>A selling stockholder that is an entity may elect to make a pro rata in-kind distribution of common stock to its members, partners or shareholders pursuant to the registration statement of which this prospectus is a part by delivering a prospectus with a plan of distribution. Such members, partners or stockholders would thereby receive freely tradeable shares of common stock pursuant to the distribution through a registration statement. To the extent a distributee is an affiliate of ours (or to the extent otherwise required by law), we may file a prospectus supplement in order to permit the distributees to use the prospectus to resell the common stock acquired in the distribution. A selling stockholder that is an individual may make gifts of common stock covered hereby. Such donees may use the prospectus to resell the common stock or, if required by law, we may file a prospectus supplement naming such donees.</w:t>
      </w:r>
    </w:p>
    <w:p>
      <w:pPr>
        <w:spacing w:after="0" w:line="197" w:lineRule="exact"/>
        <w:rPr>
          <w:sz w:val="20"/>
          <w:szCs w:val="20"/>
          <w:color w:val="auto"/>
        </w:rPr>
      </w:pPr>
    </w:p>
    <w:p>
      <w:pPr>
        <w:ind w:left="160" w:firstLine="436"/>
        <w:spacing w:after="0" w:line="290" w:lineRule="auto"/>
        <w:rPr>
          <w:sz w:val="20"/>
          <w:szCs w:val="20"/>
          <w:color w:val="auto"/>
        </w:rPr>
      </w:pPr>
      <w:r>
        <w:rPr>
          <w:rFonts w:ascii="Arial" w:cs="Arial" w:eastAsia="Arial" w:hAnsi="Arial"/>
          <w:sz w:val="16"/>
          <w:szCs w:val="16"/>
          <w:color w:val="auto"/>
        </w:rPr>
        <w:t>We are not aware of any plans, arrangements or understandings between any stockholder and any underwriter, broker-dealer or agent regarding the sale of our common stock by any stockholder. There can be no assurance that the selling stockholders will sell any or all of the shares of our common stock registered pursuant to the registration statement of which this prospectus or any applicable prospectus supplement forms a part. In addition, we cannot assure you that any selling stockholder will not transfer, devise or gift our common stock by other means not described in this prospectus. Moreover, the selling stockholders may also sell shares pursuant to Rule 144 under the Securities Act or other available exemptions from the registration requirements of the Securities Act rather than pursuant to this prospectus or any applicable prospectus supplement.</w:t>
      </w:r>
    </w:p>
    <w:p>
      <w:pPr>
        <w:spacing w:after="0" w:line="164" w:lineRule="exact"/>
        <w:rPr>
          <w:sz w:val="20"/>
          <w:szCs w:val="20"/>
          <w:color w:val="auto"/>
        </w:rPr>
      </w:pPr>
    </w:p>
    <w:p>
      <w:pPr>
        <w:ind w:left="160" w:right="200" w:firstLine="436"/>
        <w:spacing w:after="0" w:line="259" w:lineRule="auto"/>
        <w:rPr>
          <w:sz w:val="20"/>
          <w:szCs w:val="20"/>
          <w:color w:val="auto"/>
        </w:rPr>
      </w:pPr>
      <w:r>
        <w:rPr>
          <w:rFonts w:ascii="Arial" w:cs="Arial" w:eastAsia="Arial" w:hAnsi="Arial"/>
          <w:sz w:val="18"/>
          <w:szCs w:val="18"/>
          <w:color w:val="auto"/>
        </w:rPr>
        <w:t>Our common stock is currently listed and traded on the New York Stock Exchange. Any common stock sold by this prospectus will be listed for trading on the New York Stock Exchange subject to official notice of issuance. We cannot give you any assurance as to the liquidity of the trading markets for our common stock.</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Indemnification</w:t>
      </w:r>
    </w:p>
    <w:p>
      <w:pPr>
        <w:spacing w:after="0" w:line="118" w:lineRule="exact"/>
        <w:rPr>
          <w:sz w:val="20"/>
          <w:szCs w:val="20"/>
          <w:color w:val="auto"/>
        </w:rPr>
      </w:pPr>
    </w:p>
    <w:p>
      <w:pPr>
        <w:jc w:val="both"/>
        <w:ind w:left="160" w:right="20" w:firstLine="436"/>
        <w:spacing w:after="0" w:line="259" w:lineRule="auto"/>
        <w:rPr>
          <w:sz w:val="20"/>
          <w:szCs w:val="20"/>
          <w:color w:val="auto"/>
        </w:rPr>
      </w:pPr>
      <w:r>
        <w:rPr>
          <w:rFonts w:ascii="Arial" w:cs="Arial" w:eastAsia="Arial" w:hAnsi="Arial"/>
          <w:sz w:val="18"/>
          <w:szCs w:val="18"/>
          <w:color w:val="auto"/>
        </w:rPr>
        <w:t>Underwriters, dealers, agents and other persons may be entitled, under agreements that may be entered into with us and the selling stockholders, to indemnification against certain civil liabilities, including liabilities under the Securities Act, or to contribution with respect to payments that they may be required to make in respect thereof.</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Related Transactions</w:t>
      </w:r>
    </w:p>
    <w:p>
      <w:pPr>
        <w:spacing w:after="0" w:line="118" w:lineRule="exact"/>
        <w:rPr>
          <w:sz w:val="20"/>
          <w:szCs w:val="20"/>
          <w:color w:val="auto"/>
        </w:rPr>
      </w:pPr>
    </w:p>
    <w:p>
      <w:pPr>
        <w:ind w:left="160" w:right="280" w:firstLine="436"/>
        <w:spacing w:after="0" w:line="271" w:lineRule="auto"/>
        <w:rPr>
          <w:sz w:val="20"/>
          <w:szCs w:val="20"/>
          <w:color w:val="auto"/>
        </w:rPr>
      </w:pPr>
      <w:r>
        <w:rPr>
          <w:rFonts w:ascii="Arial" w:cs="Arial" w:eastAsia="Arial" w:hAnsi="Arial"/>
          <w:sz w:val="18"/>
          <w:szCs w:val="18"/>
          <w:color w:val="auto"/>
        </w:rPr>
        <w:t>Various underwriters who participate in the distribution of securities, and their affiliates, may perform various commercial banking, investment banking or other services for us from time to time in the ordinary course of business.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18" w:lineRule="exact"/>
        <w:rPr>
          <w:sz w:val="20"/>
          <w:szCs w:val="20"/>
          <w:color w:val="auto"/>
        </w:rPr>
      </w:pPr>
    </w:p>
    <w:p>
      <w:pPr>
        <w:ind w:left="160" w:right="140" w:firstLine="436"/>
        <w:spacing w:after="0" w:line="253" w:lineRule="auto"/>
        <w:rPr>
          <w:sz w:val="20"/>
          <w:szCs w:val="20"/>
          <w:color w:val="auto"/>
        </w:rPr>
      </w:pPr>
      <w:r>
        <w:rPr>
          <w:rFonts w:ascii="Arial" w:cs="Arial" w:eastAsia="Arial" w:hAnsi="Arial"/>
          <w:sz w:val="18"/>
          <w:szCs w:val="18"/>
          <w:color w:val="auto"/>
        </w:rPr>
        <w:t>If underwriters or dealers are used in the sale, until the distribution of the shares of common stock is completed, rules of the SEC may limit the ability of any underwriters to bid for and purchase shares of our common stock. As an exception to these rules, representatives of any underwriters are permitted to engage in transactions that stabilize the price of our common stock. These transactions may consist of bids or purchases for the purpose of pegging, fixing or maintaining the price of our common stock. If the underwriters create a short position in our common stock in connection with the offering (that is, if they sell more shares of our common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6"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stock than are set forth on the cover page of the accompanying prospectus supplement) the representatives of the underwriters may reduce that short position by purchasing shares of our common stock in the open market.</w:t>
      </w:r>
    </w:p>
    <w:p>
      <w:pPr>
        <w:spacing w:after="0" w:line="175" w:lineRule="exact"/>
        <w:rPr>
          <w:sz w:val="20"/>
          <w:szCs w:val="20"/>
          <w:color w:val="auto"/>
        </w:rPr>
      </w:pPr>
    </w:p>
    <w:p>
      <w:pPr>
        <w:jc w:val="both"/>
        <w:ind w:left="160" w:firstLine="436"/>
        <w:spacing w:after="0" w:line="259" w:lineRule="auto"/>
        <w:rPr>
          <w:sz w:val="20"/>
          <w:szCs w:val="20"/>
          <w:color w:val="auto"/>
        </w:rPr>
      </w:pPr>
      <w:r>
        <w:rPr>
          <w:rFonts w:ascii="Arial" w:cs="Arial" w:eastAsia="Arial" w:hAnsi="Arial"/>
          <w:sz w:val="18"/>
          <w:szCs w:val="18"/>
          <w:color w:val="auto"/>
        </w:rPr>
        <w:t>We make no representation or prediction as to the direction or magnitude of any effect that the transactions described above may have on the price of our common stock. In addition, we make no representation that the representatives of any underwriters will engage in these transactions or that these transactions, once commenced, will not be discontinued without notice.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320" w:top="456"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ind w:left="160" w:firstLine="436"/>
        <w:spacing w:after="0" w:line="259"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Fried, Frank, Harris, Shriver &amp; Jacobson LLP, New York, New York. Any underwriters will be advised about legal matters by their own counsel, which will be named in a prospectus supplement to the extent required by law.</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60" w:right="220" w:firstLine="436"/>
        <w:spacing w:after="0" w:line="275"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left="160" w:right="20" w:firstLine="436"/>
        <w:spacing w:after="0" w:line="297" w:lineRule="auto"/>
        <w:rPr>
          <w:sz w:val="20"/>
          <w:szCs w:val="20"/>
          <w:color w:val="auto"/>
        </w:rPr>
      </w:pPr>
      <w:r>
        <w:rPr>
          <w:rFonts w:ascii="Arial" w:cs="Arial" w:eastAsia="Arial" w:hAnsi="Arial"/>
          <w:sz w:val="16"/>
          <w:szCs w:val="16"/>
          <w:color w:val="auto"/>
        </w:rPr>
        <w:t>Shutterstock, Inc. files annual, quarterly and current reports, proxy statements and other information with the SEC (File No. 001-35669). You may read and copy any document Shutterstock, Inc. has filed or will file with the SEC at the SEC’s public website (www.sec.gov). Those filings are also made available to the public on, or accessible through, Shutterstock, Inc.’s website at www.investor.shutterstock.com. The information on or accessible through our website is not incorporated into or part of this prospectus (except for our SEC reports expressly incorporated by reference herein).</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6"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5"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any accompanying prospectus supplement, and later information filed with the SEC will automatically update and supersede this information. We incorporate by reference the documents listed below and all documents subsequently filed with the SEC pursuant to Sections 13(a), 13(c), 14 or 15(d) of the Securities Exchange Act of 1934, as amended (the “Exchange Act”), prior to the termination of the offering under this prospectus and any prospectus supplement (in each case, other than information deemed furnished and not filed in accordance with SEC rules, including pursuant to Items 2.02 and 7.01 of Form 8-K or corresponding information furnished under Item 9.01 or included in a furnished exhibit, except as stated specifically below):</w:t>
      </w:r>
    </w:p>
    <w:p>
      <w:pPr>
        <w:spacing w:after="0" w:line="73" w:lineRule="exact"/>
        <w:rPr>
          <w:sz w:val="20"/>
          <w:szCs w:val="20"/>
          <w:color w:val="auto"/>
        </w:rPr>
      </w:pPr>
    </w:p>
    <w:p>
      <w:pPr>
        <w:ind w:left="1140" w:right="80" w:hanging="438"/>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2019 filed with the SEC on February 13, 2020, including those portions of our </w:t>
      </w:r>
      <w:hyperlink r:id="rId42">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filed with the SEC on April 24, 2020 that are incorporated by reference in such Annual Report;</w:t>
      </w:r>
    </w:p>
    <w:p>
      <w:pPr>
        <w:spacing w:after="0" w:line="92" w:lineRule="exact"/>
        <w:rPr>
          <w:rFonts w:ascii="Arial" w:cs="Arial" w:eastAsia="Arial" w:hAnsi="Arial"/>
          <w:sz w:val="18"/>
          <w:szCs w:val="18"/>
          <w:color w:val="auto"/>
        </w:rPr>
      </w:pPr>
    </w:p>
    <w:p>
      <w:pPr>
        <w:ind w:left="1140" w:right="24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 ended March 31, 2020 filed with the SEC on </w:t>
      </w:r>
      <w:hyperlink r:id="rId24">
        <w:r>
          <w:rPr>
            <w:rFonts w:ascii="Arial" w:cs="Arial" w:eastAsia="Arial" w:hAnsi="Arial"/>
            <w:sz w:val="18"/>
            <w:szCs w:val="18"/>
            <w:u w:val="single" w:color="auto"/>
            <w:color w:val="0000EE"/>
          </w:rPr>
          <w:t>April 28, 2020</w:t>
        </w:r>
      </w:hyperlink>
      <w:r>
        <w:rPr>
          <w:rFonts w:ascii="Arial" w:cs="Arial" w:eastAsia="Arial" w:hAnsi="Arial"/>
          <w:sz w:val="18"/>
          <w:szCs w:val="18"/>
          <w:color w:val="auto"/>
        </w:rPr>
        <w:t xml:space="preserve">, and the quarter ended June 30, 2020 filed with the SEC on </w:t>
      </w:r>
      <w:hyperlink r:id="rId43">
        <w:r>
          <w:rPr>
            <w:rFonts w:ascii="Arial" w:cs="Arial" w:eastAsia="Arial" w:hAnsi="Arial"/>
            <w:sz w:val="18"/>
            <w:szCs w:val="18"/>
            <w:u w:val="single" w:color="auto"/>
            <w:color w:val="0000EE"/>
          </w:rPr>
          <w:t>July 28, 2020</w:t>
        </w:r>
      </w:hyperlink>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1140" w:right="140" w:hanging="438"/>
        <w:spacing w:after="0" w:line="271" w:lineRule="auto"/>
        <w:tabs>
          <w:tab w:leader="none" w:pos="1140" w:val="left"/>
        </w:tabs>
        <w:numPr>
          <w:ilvl w:val="0"/>
          <w:numId w:val="7"/>
        </w:numPr>
        <w:rPr>
          <w:rFonts w:ascii="Arial" w:cs="Arial" w:eastAsia="Arial" w:hAnsi="Arial"/>
          <w:sz w:val="18"/>
          <w:szCs w:val="18"/>
          <w:color w:val="0000EE"/>
        </w:rPr>
      </w:pPr>
      <w:hyperlink r:id="rId44">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13, 2020</w:t>
        </w:r>
        <w:r>
          <w:rPr>
            <w:rFonts w:ascii="Arial" w:cs="Arial" w:eastAsia="Arial" w:hAnsi="Arial"/>
            <w:sz w:val="18"/>
            <w:szCs w:val="18"/>
            <w:color w:val="auto"/>
          </w:rPr>
          <w:t xml:space="preserve"> (Item 5.02 information only), </w:t>
        </w:r>
        <w:r>
          <w:rPr>
            <w:rFonts w:ascii="Arial" w:cs="Arial" w:eastAsia="Arial" w:hAnsi="Arial"/>
            <w:sz w:val="18"/>
            <w:szCs w:val="18"/>
            <w:u w:val="single" w:color="auto"/>
            <w:color w:val="0000EE"/>
          </w:rPr>
          <w:t>February 27,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26,</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5">
        <w:r>
          <w:rPr>
            <w:rFonts w:ascii="Arial" w:cs="Arial" w:eastAsia="Arial" w:hAnsi="Arial"/>
            <w:sz w:val="18"/>
            <w:szCs w:val="18"/>
            <w:u w:val="single" w:color="auto"/>
            <w:color w:val="0000EE"/>
          </w:rPr>
          <w:t xml:space="preserve">April 15, 2020 </w:t>
        </w:r>
      </w:hyperlink>
      <w:hyperlink r:id="rId44">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6">
        <w:r>
          <w:rPr>
            <w:rFonts w:ascii="Arial" w:cs="Arial" w:eastAsia="Arial" w:hAnsi="Arial"/>
            <w:sz w:val="18"/>
            <w:szCs w:val="18"/>
            <w:u w:val="single" w:color="auto"/>
            <w:color w:val="0000EE"/>
          </w:rPr>
          <w:t>June 4, 2020</w:t>
        </w:r>
      </w:hyperlink>
      <w:hyperlink r:id="rId44">
        <w:r>
          <w:rPr>
            <w:rFonts w:ascii="Arial" w:cs="Arial" w:eastAsia="Arial" w:hAnsi="Arial"/>
            <w:sz w:val="18"/>
            <w:szCs w:val="18"/>
            <w:color w:val="000000"/>
          </w:rPr>
          <w:t>; and</w:t>
        </w:r>
      </w:hyperlink>
    </w:p>
    <w:p>
      <w:pPr>
        <w:spacing w:after="0" w:line="80" w:lineRule="exact"/>
        <w:rPr>
          <w:rFonts w:ascii="Arial" w:cs="Arial" w:eastAsia="Arial" w:hAnsi="Arial"/>
          <w:sz w:val="18"/>
          <w:szCs w:val="18"/>
          <w:color w:val="0000EE"/>
        </w:rPr>
      </w:pPr>
    </w:p>
    <w:p>
      <w:pPr>
        <w:ind w:left="1140" w:right="140" w:hanging="438"/>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w:t>
      </w:r>
      <w:hyperlink r:id="rId47">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September 27, 2012, as supplemented by the “Description of Capital Stock” included in this prospectus and including any amendments or reports filed for the purpose of updating such description.</w:t>
      </w:r>
    </w:p>
    <w:p>
      <w:pPr>
        <w:spacing w:after="0" w:line="186" w:lineRule="exact"/>
        <w:rPr>
          <w:rFonts w:ascii="Arial" w:cs="Arial" w:eastAsia="Arial" w:hAnsi="Arial"/>
          <w:sz w:val="18"/>
          <w:szCs w:val="18"/>
          <w:color w:val="0000EE"/>
        </w:rPr>
      </w:pPr>
    </w:p>
    <w:p>
      <w:pPr>
        <w:ind w:left="160" w:right="400" w:firstLine="436"/>
        <w:spacing w:after="0" w:line="271"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or telephoning us at the following address:</w:t>
      </w:r>
    </w:p>
    <w:p>
      <w:pPr>
        <w:spacing w:after="0" w:line="175" w:lineRule="exact"/>
        <w:rPr>
          <w:rFonts w:ascii="Arial" w:cs="Arial" w:eastAsia="Arial" w:hAnsi="Arial"/>
          <w:sz w:val="18"/>
          <w:szCs w:val="18"/>
          <w:color w:val="0000EE"/>
        </w:rPr>
      </w:pPr>
    </w:p>
    <w:p>
      <w:pPr>
        <w:jc w:val="center"/>
        <w:ind w:right="-239"/>
        <w:spacing w:after="0"/>
        <w:rPr>
          <w:sz w:val="20"/>
          <w:szCs w:val="20"/>
          <w:color w:val="auto"/>
        </w:rPr>
      </w:pPr>
      <w:r>
        <w:rPr>
          <w:rFonts w:ascii="Arial" w:cs="Arial" w:eastAsia="Arial" w:hAnsi="Arial"/>
          <w:sz w:val="18"/>
          <w:szCs w:val="18"/>
          <w:color w:val="auto"/>
        </w:rPr>
        <w:t>Shutterstock, Inc.</w:t>
      </w:r>
    </w:p>
    <w:p>
      <w:pPr>
        <w:spacing w:after="0" w:line="20" w:lineRule="exact"/>
        <w:rPr>
          <w:rFonts w:ascii="Arial" w:cs="Arial" w:eastAsia="Arial" w:hAnsi="Arial"/>
          <w:sz w:val="18"/>
          <w:szCs w:val="18"/>
          <w:color w:val="0000EE"/>
        </w:rPr>
      </w:pPr>
    </w:p>
    <w:p>
      <w:pPr>
        <w:jc w:val="center"/>
        <w:ind w:right="-239"/>
        <w:spacing w:after="0"/>
        <w:rPr>
          <w:sz w:val="20"/>
          <w:szCs w:val="20"/>
          <w:color w:val="auto"/>
        </w:rPr>
      </w:pPr>
      <w:r>
        <w:rPr>
          <w:rFonts w:ascii="Arial" w:cs="Arial" w:eastAsia="Arial" w:hAnsi="Arial"/>
          <w:sz w:val="18"/>
          <w:szCs w:val="18"/>
          <w:color w:val="auto"/>
        </w:rPr>
        <w:t>350 Fifth Avenue, 21st Floor</w:t>
      </w:r>
    </w:p>
    <w:p>
      <w:pPr>
        <w:spacing w:after="0" w:line="7" w:lineRule="exact"/>
        <w:rPr>
          <w:rFonts w:ascii="Arial" w:cs="Arial" w:eastAsia="Arial" w:hAnsi="Arial"/>
          <w:sz w:val="18"/>
          <w:szCs w:val="18"/>
          <w:color w:val="0000EE"/>
        </w:rPr>
      </w:pPr>
    </w:p>
    <w:p>
      <w:pPr>
        <w:jc w:val="center"/>
        <w:ind w:right="-239"/>
        <w:spacing w:after="0"/>
        <w:rPr>
          <w:sz w:val="20"/>
          <w:szCs w:val="20"/>
          <w:color w:val="auto"/>
        </w:rPr>
      </w:pPr>
      <w:r>
        <w:rPr>
          <w:rFonts w:ascii="Arial" w:cs="Arial" w:eastAsia="Arial" w:hAnsi="Arial"/>
          <w:sz w:val="18"/>
          <w:szCs w:val="18"/>
          <w:color w:val="auto"/>
        </w:rPr>
        <w:t>New York, New York 10118</w:t>
      </w:r>
    </w:p>
    <w:p>
      <w:pPr>
        <w:spacing w:after="0" w:line="7" w:lineRule="exact"/>
        <w:rPr>
          <w:rFonts w:ascii="Arial" w:cs="Arial" w:eastAsia="Arial" w:hAnsi="Arial"/>
          <w:sz w:val="18"/>
          <w:szCs w:val="18"/>
          <w:color w:val="0000EE"/>
        </w:rPr>
      </w:pPr>
    </w:p>
    <w:p>
      <w:pPr>
        <w:ind w:left="5500" w:hanging="433"/>
        <w:spacing w:after="0"/>
        <w:tabs>
          <w:tab w:leader="none" w:pos="5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710-3417</w:t>
      </w:r>
    </w:p>
    <w:p>
      <w:pPr>
        <w:spacing w:after="0" w:line="14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16</w:t>
      </w:r>
    </w:p>
    <w:p>
      <w:pPr>
        <w:sectPr>
          <w:pgSz w:w="11900" w:h="16838" w:orient="portrait"/>
          <w:cols w:equalWidth="0" w:num="1">
            <w:col w:w="11020"/>
          </w:cols>
          <w:pgMar w:left="320" w:top="456" w:right="5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48" w:lineRule="exact"/>
        <w:rPr>
          <w:sz w:val="20"/>
          <w:szCs w:val="20"/>
          <w:color w:val="auto"/>
        </w:rPr>
      </w:pPr>
    </w:p>
    <w:p>
      <w:pPr>
        <w:ind w:left="160"/>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4"/>
          <w:szCs w:val="14"/>
          <w:b w:val="1"/>
          <w:bCs w:val="1"/>
          <w:color w:val="auto"/>
        </w:rPr>
        <w:t>Other Expenses of Issuance and Distribution</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estimated expenses in connection with the issuance and distribution of the common stock being registered are set forth in the following table.</w:t>
      </w:r>
    </w:p>
    <w:p>
      <w:pPr>
        <w:spacing w:after="0" w:line="285"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86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8"/>
                <w:szCs w:val="18"/>
                <w:color w:val="auto"/>
              </w:rPr>
              <w:t>FINRA Filing Fee</w:t>
            </w: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4"/>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8"/>
                <w:szCs w:val="18"/>
                <w:color w:val="auto"/>
              </w:rPr>
              <w:t>Trustee Fees and Expenses</w:t>
            </w: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4"/>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8"/>
                <w:szCs w:val="18"/>
                <w:color w:val="auto"/>
              </w:rPr>
              <w:t>Printing Expenses</w:t>
            </w: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4"/>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New York Stock Exchange and Other Listing Fees</w:t>
            </w: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4"/>
        </w:trPr>
        <w:tc>
          <w:tcPr>
            <w:tcW w:w="5020" w:type="dxa"/>
            <w:vAlign w:val="bottom"/>
          </w:tcPr>
          <w:p>
            <w:pPr>
              <w:spacing w:after="0"/>
              <w:rPr>
                <w:sz w:val="20"/>
                <w:szCs w:val="20"/>
                <w:color w:val="auto"/>
              </w:rPr>
            </w:pPr>
            <w:r>
              <w:rPr>
                <w:rFonts w:ascii="Arial" w:cs="Arial" w:eastAsia="Arial" w:hAnsi="Arial"/>
                <w:sz w:val="18"/>
                <w:szCs w:val="18"/>
                <w:color w:val="auto"/>
              </w:rPr>
              <w:t>Miscellaneous</w:t>
            </w: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4"/>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6" w:lineRule="exact"/>
        <w:rPr>
          <w:sz w:val="20"/>
          <w:szCs w:val="20"/>
          <w:color w:val="auto"/>
        </w:rPr>
      </w:pPr>
    </w:p>
    <w:p>
      <w:pPr>
        <w:ind w:left="600" w:right="240" w:hanging="433"/>
        <w:spacing w:after="0" w:line="255"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accordance with Rules 456(b) and 457(r) under the Securities Act, the registrant is deferring payment of the registration fee for the common stock offered by this prospectus.</w:t>
      </w:r>
    </w:p>
    <w:p>
      <w:pPr>
        <w:spacing w:after="0" w:line="1" w:lineRule="exact"/>
        <w:rPr>
          <w:sz w:val="20"/>
          <w:szCs w:val="20"/>
          <w:color w:val="auto"/>
        </w:rPr>
      </w:pPr>
    </w:p>
    <w:p>
      <w:pPr>
        <w:ind w:left="600" w:hanging="433"/>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fees are calculated based on the common stock offered and the number of issuances and accordingly cannot be estimated at this time.</w:t>
      </w:r>
    </w:p>
    <w:p>
      <w:pPr>
        <w:spacing w:after="0" w:line="374" w:lineRule="exact"/>
        <w:rPr>
          <w:sz w:val="20"/>
          <w:szCs w:val="20"/>
          <w:color w:val="auto"/>
        </w:rPr>
      </w:pPr>
    </w:p>
    <w:p>
      <w:pPr>
        <w:ind w:left="160"/>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18" w:lineRule="exact"/>
        <w:rPr>
          <w:sz w:val="20"/>
          <w:szCs w:val="20"/>
          <w:color w:val="auto"/>
        </w:rPr>
      </w:pPr>
    </w:p>
    <w:p>
      <w:pPr>
        <w:ind w:left="160" w:firstLine="436"/>
        <w:spacing w:after="0" w:line="287" w:lineRule="auto"/>
        <w:rPr>
          <w:sz w:val="20"/>
          <w:szCs w:val="20"/>
          <w:color w:val="auto"/>
        </w:rPr>
      </w:pPr>
      <w:r>
        <w:rPr>
          <w:rFonts w:ascii="Arial" w:cs="Arial" w:eastAsia="Arial" w:hAnsi="Arial"/>
          <w:sz w:val="16"/>
          <w:szCs w:val="16"/>
          <w:color w:val="auto"/>
        </w:rPr>
        <w:t>Section 145 of the Delaware General Corporation Law (the “DGCL”) provides, in effect, that any person made a party to any action by reason of the fact that he or she is or was a director, officer, employee or agent of a corporation may and, in some cases, must be indemnified by the corporation against, in the case of a non-derivative action, judgments, fines, amounts paid in settlement and reasonable expenses (including attorneys’ fees) incurred by him or her as a result of such action and in the case of a derivative action, against expenses (including attorneys’ fees), if in either type of action he acted in good faith and in a manner he reasonably believed to be in or not opposed to the best interests of the corporation and, in the case of a criminal action, he had no reasonable cause to believe his conduct was unlawful. This indemnification does not apply, in a derivative action, to matters as to which it is adjudged that the director, officer, employee or agent is liable to the corporation, unless upon court order it is determined that, despite such adjudication of liability, but in view of all the circumstances of the case, he or she is fairly and reasonably entitled to indemnity for expenses.</w:t>
      </w:r>
    </w:p>
    <w:p>
      <w:pPr>
        <w:spacing w:after="0" w:line="166" w:lineRule="exact"/>
        <w:rPr>
          <w:sz w:val="20"/>
          <w:szCs w:val="20"/>
          <w:color w:val="auto"/>
        </w:rPr>
      </w:pPr>
    </w:p>
    <w:p>
      <w:pPr>
        <w:ind w:left="160" w:right="60" w:firstLine="436"/>
        <w:spacing w:after="0" w:line="270" w:lineRule="auto"/>
        <w:rPr>
          <w:sz w:val="20"/>
          <w:szCs w:val="20"/>
          <w:color w:val="auto"/>
        </w:rPr>
      </w:pPr>
      <w:r>
        <w:rPr>
          <w:rFonts w:ascii="Arial" w:cs="Arial" w:eastAsia="Arial" w:hAnsi="Arial"/>
          <w:sz w:val="17"/>
          <w:szCs w:val="17"/>
          <w:color w:val="auto"/>
        </w:rPr>
        <w:t>The bylaws of the Company provides for indemnification, to the fullest extent permitted by the DGCL, to any person who was or is a party or is threatened to be made a party to any action, suit or proceeding, whether civil, criminal, administrative or investigative, by reason of the fact that he or she is or was a director or officer of the Company, or is or was serving at the request of the Company, as a director, officer, or agent of another corporation, limited liability company, or other enterprise, against expenses (including attorneys’ fees), judgments, liabilities, losses, fines and amounts paid in settlement reasonably incurred by him or her in connection with such action, suit or proceeding. The Company may also, in its discretion, indemnify employees and agents in those circumstances where indemnification is permitted by the DGCL.</w:t>
      </w:r>
    </w:p>
    <w:p>
      <w:pPr>
        <w:spacing w:after="0" w:line="178" w:lineRule="exact"/>
        <w:rPr>
          <w:sz w:val="20"/>
          <w:szCs w:val="20"/>
          <w:color w:val="auto"/>
        </w:rPr>
      </w:pPr>
    </w:p>
    <w:p>
      <w:pPr>
        <w:ind w:left="160" w:right="160" w:firstLine="436"/>
        <w:spacing w:after="0" w:line="271" w:lineRule="auto"/>
        <w:rPr>
          <w:sz w:val="20"/>
          <w:szCs w:val="20"/>
          <w:color w:val="auto"/>
        </w:rPr>
      </w:pPr>
      <w:r>
        <w:rPr>
          <w:rFonts w:ascii="Arial" w:cs="Arial" w:eastAsia="Arial" w:hAnsi="Arial"/>
          <w:sz w:val="18"/>
          <w:szCs w:val="18"/>
          <w:color w:val="auto"/>
        </w:rPr>
        <w:t>The certificate of incorporation of the Company provides that no director is liable to the Company or its stockholders for monetary damages for breach of fiduciary duty as a director to the fullest extent permitted by the DGCL.</w:t>
      </w:r>
    </w:p>
    <w:p>
      <w:pPr>
        <w:spacing w:after="0" w:line="175" w:lineRule="exact"/>
        <w:rPr>
          <w:sz w:val="20"/>
          <w:szCs w:val="20"/>
          <w:color w:val="auto"/>
        </w:rPr>
      </w:pPr>
    </w:p>
    <w:p>
      <w:pPr>
        <w:ind w:left="160" w:right="540" w:firstLine="436"/>
        <w:spacing w:after="0" w:line="271" w:lineRule="auto"/>
        <w:rPr>
          <w:sz w:val="20"/>
          <w:szCs w:val="20"/>
          <w:color w:val="auto"/>
        </w:rPr>
      </w:pPr>
      <w:r>
        <w:rPr>
          <w:rFonts w:ascii="Arial" w:cs="Arial" w:eastAsia="Arial" w:hAnsi="Arial"/>
          <w:sz w:val="18"/>
          <w:szCs w:val="18"/>
          <w:color w:val="auto"/>
        </w:rPr>
        <w:t>The Company has entered into indemnification agreements with all of its directors and executive officers and has purchased directors’ and officers’ liability insurance. Any underwriting agreement may provide for</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0"/>
          </w:cols>
          <w:pgMar w:left="320" w:top="456" w:right="5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indemnification by the underwriters of the issuer and its officers and directors for certain liabilities arising under the Securities Act or otherwise.</w:t>
      </w:r>
    </w:p>
    <w:p>
      <w:pPr>
        <w:spacing w:after="0" w:line="376" w:lineRule="exact"/>
        <w:rPr>
          <w:sz w:val="20"/>
          <w:szCs w:val="20"/>
          <w:color w:val="auto"/>
        </w:rPr>
      </w:pPr>
    </w:p>
    <w:p>
      <w:pPr>
        <w:ind w:left="160"/>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4"/>
          <w:szCs w:val="14"/>
          <w:b w:val="1"/>
          <w:bCs w:val="1"/>
          <w:color w:val="auto"/>
        </w:rPr>
        <w:t>Exhibits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40" w:type="dxa"/>
            <w:vAlign w:val="bottom"/>
            <w:gridSpan w:val="3"/>
            <w:vMerge w:val="restart"/>
          </w:tcPr>
          <w:p>
            <w:pPr>
              <w:ind w:left="2160"/>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Incorporated by Reference</w:t>
            </w: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20" w:type="dxa"/>
            <w:vAlign w:val="bottom"/>
            <w:tcBorders>
              <w:bottom w:val="single" w:sz="8" w:color="auto"/>
            </w:tcBorders>
            <w:vMerge w:val="continue"/>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40" w:type="dxa"/>
            <w:vAlign w:val="bottom"/>
            <w:gridSpan w:val="3"/>
            <w:vMerge w:val="continue"/>
          </w:tcPr>
          <w:p>
            <w:pPr>
              <w:spacing w:after="0"/>
              <w:rPr>
                <w:sz w:val="12"/>
                <w:szCs w:val="12"/>
                <w:color w:val="auto"/>
              </w:rPr>
            </w:pPr>
          </w:p>
        </w:tc>
        <w:tc>
          <w:tcPr>
            <w:tcW w:w="660" w:type="dxa"/>
            <w:vAlign w:val="bottom"/>
          </w:tcPr>
          <w:p>
            <w:pPr>
              <w:ind w:left="100"/>
              <w:spacing w:after="0" w:line="127" w:lineRule="exact"/>
              <w:rPr>
                <w:sz w:val="20"/>
                <w:szCs w:val="20"/>
                <w:color w:val="auto"/>
              </w:rPr>
            </w:pPr>
            <w:r>
              <w:rPr>
                <w:rFonts w:ascii="Arial" w:cs="Arial" w:eastAsia="Arial" w:hAnsi="Arial"/>
                <w:sz w:val="14"/>
                <w:szCs w:val="14"/>
                <w:b w:val="1"/>
                <w:bCs w:val="1"/>
                <w:color w:val="auto"/>
              </w:rPr>
              <w:t>Form</w:t>
            </w:r>
          </w:p>
        </w:tc>
        <w:tc>
          <w:tcPr>
            <w:tcW w:w="1120" w:type="dxa"/>
            <w:vAlign w:val="bottom"/>
          </w:tcPr>
          <w:p>
            <w:pPr>
              <w:jc w:val="right"/>
              <w:ind w:right="280"/>
              <w:spacing w:after="0" w:line="127" w:lineRule="exact"/>
              <w:rPr>
                <w:sz w:val="20"/>
                <w:szCs w:val="20"/>
                <w:color w:val="auto"/>
              </w:rPr>
            </w:pPr>
            <w:r>
              <w:rPr>
                <w:rFonts w:ascii="Arial" w:cs="Arial" w:eastAsia="Arial" w:hAnsi="Arial"/>
                <w:sz w:val="14"/>
                <w:szCs w:val="14"/>
                <w:b w:val="1"/>
                <w:bCs w:val="1"/>
                <w:color w:val="auto"/>
              </w:rPr>
              <w:t>File No.</w:t>
            </w:r>
          </w:p>
        </w:tc>
        <w:tc>
          <w:tcPr>
            <w:tcW w:w="880" w:type="dxa"/>
            <w:vAlign w:val="bottom"/>
          </w:tcPr>
          <w:p>
            <w:pPr>
              <w:jc w:val="right"/>
              <w:ind w:right="257"/>
              <w:spacing w:after="0" w:line="127" w:lineRule="exact"/>
              <w:rPr>
                <w:sz w:val="20"/>
                <w:szCs w:val="20"/>
                <w:color w:val="auto"/>
              </w:rPr>
            </w:pPr>
            <w:r>
              <w:rPr>
                <w:rFonts w:ascii="Arial" w:cs="Arial" w:eastAsia="Arial" w:hAnsi="Arial"/>
                <w:sz w:val="14"/>
                <w:szCs w:val="14"/>
                <w:b w:val="1"/>
                <w:bCs w:val="1"/>
                <w:color w:val="auto"/>
              </w:rPr>
              <w:t>Exhibit</w:t>
            </w:r>
          </w:p>
        </w:tc>
        <w:tc>
          <w:tcPr>
            <w:tcW w:w="102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18"/>
                <w:szCs w:val="18"/>
                <w:color w:val="auto"/>
              </w:rPr>
            </w:pPr>
          </w:p>
        </w:tc>
        <w:tc>
          <w:tcPr>
            <w:tcW w:w="5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Form of Underwriting or Purchase Agreement.</w:t>
            </w: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24"/>
                <w:szCs w:val="24"/>
                <w:color w:val="auto"/>
              </w:rPr>
            </w:pPr>
          </w:p>
        </w:tc>
        <w:tc>
          <w:tcPr>
            <w:tcW w:w="5760" w:type="dxa"/>
            <w:vAlign w:val="bottom"/>
            <w:gridSpan w:val="4"/>
          </w:tcPr>
          <w:p>
            <w:pPr>
              <w:spacing w:after="0"/>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Amended and Restated Certificate of Incorporation of Shutterstock, Inc.</w:t>
              </w:r>
            </w:hyperlink>
          </w:p>
        </w:tc>
        <w:tc>
          <w:tcPr>
            <w:tcW w:w="660" w:type="dxa"/>
            <w:vAlign w:val="bottom"/>
          </w:tcPr>
          <w:p>
            <w:pPr>
              <w:ind w:left="100"/>
              <w:spacing w:after="0"/>
              <w:rPr>
                <w:sz w:val="20"/>
                <w:szCs w:val="20"/>
                <w:color w:val="auto"/>
              </w:rPr>
            </w:pPr>
            <w:r>
              <w:rPr>
                <w:rFonts w:ascii="Arial" w:cs="Arial" w:eastAsia="Arial" w:hAnsi="Arial"/>
                <w:sz w:val="18"/>
                <w:szCs w:val="18"/>
                <w:color w:val="auto"/>
              </w:rPr>
              <w:t>S-1/A</w:t>
            </w: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333-181376</w:t>
            </w:r>
          </w:p>
        </w:tc>
        <w:tc>
          <w:tcPr>
            <w:tcW w:w="880" w:type="dxa"/>
            <w:vAlign w:val="bottom"/>
          </w:tcPr>
          <w:p>
            <w:pPr>
              <w:jc w:val="right"/>
              <w:ind w:right="237"/>
              <w:spacing w:after="0"/>
              <w:rPr>
                <w:sz w:val="20"/>
                <w:szCs w:val="20"/>
                <w:color w:val="auto"/>
              </w:rPr>
            </w:pPr>
            <w:r>
              <w:rPr>
                <w:rFonts w:ascii="Arial" w:cs="Arial" w:eastAsia="Arial" w:hAnsi="Arial"/>
                <w:sz w:val="18"/>
                <w:szCs w:val="18"/>
                <w:color w:val="auto"/>
              </w:rPr>
              <w:t>3.2</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w w:val="87"/>
              </w:rPr>
              <w:t>June 29, 2012</w:t>
            </w:r>
          </w:p>
        </w:tc>
        <w:tc>
          <w:tcPr>
            <w:tcW w:w="0" w:type="dxa"/>
            <w:vAlign w:val="bottom"/>
          </w:tcPr>
          <w:p>
            <w:pPr>
              <w:spacing w:after="0"/>
              <w:rPr>
                <w:sz w:val="1"/>
                <w:szCs w:val="1"/>
                <w:color w:val="auto"/>
              </w:rPr>
            </w:pPr>
          </w:p>
        </w:tc>
      </w:tr>
      <w:tr>
        <w:trPr>
          <w:trHeight w:val="321"/>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4"/>
                <w:szCs w:val="24"/>
                <w:color w:val="auto"/>
              </w:rPr>
            </w:pPr>
          </w:p>
        </w:tc>
        <w:tc>
          <w:tcPr>
            <w:tcW w:w="5760" w:type="dxa"/>
            <w:vAlign w:val="bottom"/>
            <w:gridSpan w:val="4"/>
          </w:tcPr>
          <w:p>
            <w:pPr>
              <w:spacing w:after="0"/>
              <w:rPr>
                <w:rFonts w:ascii="Arial" w:cs="Arial" w:eastAsia="Arial" w:hAnsi="Arial"/>
                <w:sz w:val="18"/>
                <w:szCs w:val="18"/>
                <w:color w:val="0000EE"/>
              </w:rPr>
            </w:pPr>
            <w:hyperlink r:id="rId52">
              <w:r>
                <w:rPr>
                  <w:rFonts w:ascii="Arial" w:cs="Arial" w:eastAsia="Arial" w:hAnsi="Arial"/>
                  <w:sz w:val="18"/>
                  <w:szCs w:val="18"/>
                  <w:u w:val="single" w:color="auto"/>
                  <w:color w:val="0000EE"/>
                </w:rPr>
                <w:t>Amended and Restated Bylaws of Shutterstock, Inc</w:t>
              </w:r>
              <w:r>
                <w:rPr>
                  <w:rFonts w:ascii="Arial" w:cs="Arial" w:eastAsia="Arial" w:hAnsi="Arial"/>
                  <w:sz w:val="18"/>
                  <w:szCs w:val="18"/>
                  <w:color w:val="0000EE"/>
                </w:rPr>
                <w:t>.</w:t>
              </w:r>
            </w:hyperlink>
          </w:p>
        </w:tc>
        <w:tc>
          <w:tcPr>
            <w:tcW w:w="660" w:type="dxa"/>
            <w:vAlign w:val="bottom"/>
          </w:tcPr>
          <w:p>
            <w:pPr>
              <w:ind w:left="100"/>
              <w:spacing w:after="0"/>
              <w:rPr>
                <w:sz w:val="20"/>
                <w:szCs w:val="20"/>
                <w:color w:val="auto"/>
              </w:rPr>
            </w:pPr>
            <w:r>
              <w:rPr>
                <w:rFonts w:ascii="Arial" w:cs="Arial" w:eastAsia="Arial" w:hAnsi="Arial"/>
                <w:sz w:val="18"/>
                <w:szCs w:val="18"/>
                <w:color w:val="auto"/>
              </w:rPr>
              <w:t>S-1/A</w:t>
            </w: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333-181376</w:t>
            </w:r>
          </w:p>
        </w:tc>
        <w:tc>
          <w:tcPr>
            <w:tcW w:w="880" w:type="dxa"/>
            <w:vAlign w:val="bottom"/>
          </w:tcPr>
          <w:p>
            <w:pPr>
              <w:jc w:val="right"/>
              <w:ind w:right="237"/>
              <w:spacing w:after="0"/>
              <w:rPr>
                <w:sz w:val="20"/>
                <w:szCs w:val="20"/>
                <w:color w:val="auto"/>
              </w:rPr>
            </w:pPr>
            <w:r>
              <w:rPr>
                <w:rFonts w:ascii="Arial" w:cs="Arial" w:eastAsia="Arial" w:hAnsi="Arial"/>
                <w:sz w:val="18"/>
                <w:szCs w:val="18"/>
                <w:color w:val="auto"/>
              </w:rPr>
              <w:t>3.4</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w w:val="87"/>
              </w:rPr>
              <w:t>June 29, 2012</w:t>
            </w:r>
          </w:p>
        </w:tc>
        <w:tc>
          <w:tcPr>
            <w:tcW w:w="0" w:type="dxa"/>
            <w:vAlign w:val="bottom"/>
          </w:tcPr>
          <w:p>
            <w:pPr>
              <w:spacing w:after="0"/>
              <w:rPr>
                <w:sz w:val="1"/>
                <w:szCs w:val="1"/>
                <w:color w:val="auto"/>
              </w:rPr>
            </w:pPr>
          </w:p>
        </w:tc>
      </w:tr>
      <w:tr>
        <w:trPr>
          <w:trHeight w:val="321"/>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4"/>
                <w:szCs w:val="24"/>
                <w:color w:val="auto"/>
              </w:rPr>
            </w:pPr>
          </w:p>
        </w:tc>
        <w:tc>
          <w:tcPr>
            <w:tcW w:w="5760" w:type="dxa"/>
            <w:vAlign w:val="bottom"/>
            <w:gridSpan w:val="4"/>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Specimen Common Stock Certificate.</w:t>
              </w:r>
            </w:hyperlink>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5.1†</w:t>
            </w:r>
          </w:p>
        </w:tc>
        <w:tc>
          <w:tcPr>
            <w:tcW w:w="700" w:type="dxa"/>
            <w:vAlign w:val="bottom"/>
          </w:tcPr>
          <w:p>
            <w:pPr>
              <w:spacing w:after="0"/>
              <w:rPr>
                <w:sz w:val="24"/>
                <w:szCs w:val="24"/>
                <w:color w:val="auto"/>
              </w:rPr>
            </w:pPr>
          </w:p>
        </w:tc>
        <w:tc>
          <w:tcPr>
            <w:tcW w:w="5760" w:type="dxa"/>
            <w:vAlign w:val="bottom"/>
            <w:gridSpan w:val="4"/>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Opinion of Fried, Frank, Harris, Shriver &amp; Jacobson LLP.</w:t>
              </w:r>
            </w:hyperlink>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23.1†</w:t>
            </w:r>
          </w:p>
        </w:tc>
        <w:tc>
          <w:tcPr>
            <w:tcW w:w="700" w:type="dxa"/>
            <w:vAlign w:val="bottom"/>
          </w:tcPr>
          <w:p>
            <w:pPr>
              <w:spacing w:after="0"/>
              <w:rPr>
                <w:sz w:val="24"/>
                <w:szCs w:val="24"/>
                <w:color w:val="auto"/>
              </w:rPr>
            </w:pPr>
          </w:p>
        </w:tc>
        <w:tc>
          <w:tcPr>
            <w:tcW w:w="55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Consent of Fried, Frank, Harris, Shriver &amp; Jacobson LLP (included in Exhibit</w:t>
              </w:r>
            </w:hyperlink>
          </w:p>
        </w:tc>
        <w:tc>
          <w:tcPr>
            <w:tcW w:w="20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020" w:type="dxa"/>
            <w:vAlign w:val="bottom"/>
            <w:gridSpan w:val="2"/>
          </w:tcPr>
          <w:p>
            <w:pPr>
              <w:ind w:left="700"/>
              <w:spacing w:after="0" w:line="194" w:lineRule="exact"/>
              <w:rPr>
                <w:rFonts w:ascii="Arial" w:cs="Arial" w:eastAsia="Arial" w:hAnsi="Arial"/>
                <w:sz w:val="18"/>
                <w:szCs w:val="18"/>
                <w:color w:val="0000EE"/>
                <w:w w:val="83"/>
              </w:rPr>
            </w:pPr>
            <w:hyperlink w:anchor="page27">
              <w:r>
                <w:rPr>
                  <w:rFonts w:ascii="Arial" w:cs="Arial" w:eastAsia="Arial" w:hAnsi="Arial"/>
                  <w:sz w:val="18"/>
                  <w:szCs w:val="18"/>
                  <w:color w:val="0000EE"/>
                  <w:w w:val="83"/>
                </w:rPr>
                <w:t>5.</w:t>
              </w:r>
              <w:r>
                <w:rPr>
                  <w:rFonts w:ascii="Arial" w:cs="Arial" w:eastAsia="Arial" w:hAnsi="Arial"/>
                  <w:sz w:val="18"/>
                  <w:szCs w:val="18"/>
                  <w:u w:val="single" w:color="auto"/>
                  <w:color w:val="0000EE"/>
                  <w:w w:val="83"/>
                </w:rPr>
                <w:t>1)</w:t>
              </w:r>
              <w:r>
                <w:rPr>
                  <w:rFonts w:ascii="Arial" w:cs="Arial" w:eastAsia="Arial" w:hAnsi="Arial"/>
                  <w:sz w:val="18"/>
                  <w:szCs w:val="18"/>
                  <w:color w:val="0000EE"/>
                  <w:w w:val="83"/>
                </w:rPr>
                <w:t>.</w:t>
              </w:r>
            </w:hyperlink>
          </w:p>
        </w:tc>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23.2†</w:t>
            </w:r>
          </w:p>
        </w:tc>
        <w:tc>
          <w:tcPr>
            <w:tcW w:w="700" w:type="dxa"/>
            <w:vAlign w:val="bottom"/>
          </w:tcPr>
          <w:p>
            <w:pPr>
              <w:spacing w:after="0"/>
              <w:rPr>
                <w:sz w:val="24"/>
                <w:szCs w:val="24"/>
                <w:color w:val="auto"/>
              </w:rPr>
            </w:pPr>
          </w:p>
        </w:tc>
        <w:tc>
          <w:tcPr>
            <w:tcW w:w="5760" w:type="dxa"/>
            <w:vAlign w:val="bottom"/>
            <w:gridSpan w:val="4"/>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Consent of PricewaterhouseCoopers LLP.</w:t>
              </w:r>
            </w:hyperlink>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24.1†</w:t>
            </w:r>
          </w:p>
        </w:tc>
        <w:tc>
          <w:tcPr>
            <w:tcW w:w="700" w:type="dxa"/>
            <w:vAlign w:val="bottom"/>
          </w:tcPr>
          <w:p>
            <w:pPr>
              <w:spacing w:after="0"/>
              <w:rPr>
                <w:sz w:val="24"/>
                <w:szCs w:val="24"/>
                <w:color w:val="auto"/>
              </w:rPr>
            </w:pPr>
          </w:p>
        </w:tc>
        <w:tc>
          <w:tcPr>
            <w:tcW w:w="5760" w:type="dxa"/>
            <w:vAlign w:val="bottom"/>
            <w:gridSpan w:val="4"/>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Powers of Attorney (included on the signature pages hereof).</w:t>
              </w:r>
            </w:hyperlink>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00" w:right="300" w:hanging="433"/>
        <w:spacing w:after="0" w:line="287"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be filed, if necessary, as an exhibit to a post-effective amendment to this registration statement or as an exhibit to a Current Report on Form 8-K or other report to be filed by the Company pursuant to Section 13(a) or 15(d) of the Exchange Act and incorporated herein by reference.</w:t>
      </w:r>
    </w:p>
    <w:p>
      <w:pPr>
        <w:spacing w:after="0" w:line="1" w:lineRule="exact"/>
        <w:rPr>
          <w:sz w:val="20"/>
          <w:szCs w:val="20"/>
          <w:color w:val="auto"/>
        </w:rPr>
      </w:pPr>
    </w:p>
    <w:p>
      <w:pPr>
        <w:ind w:left="600" w:hanging="433"/>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51" w:lineRule="exact"/>
        <w:rPr>
          <w:sz w:val="20"/>
          <w:szCs w:val="20"/>
          <w:color w:val="auto"/>
        </w:rPr>
      </w:pPr>
    </w:p>
    <w:p>
      <w:pPr>
        <w:ind w:left="160"/>
        <w:spacing w:after="0"/>
        <w:tabs>
          <w:tab w:leader="none" w:pos="12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31" w:lineRule="exact"/>
        <w:rPr>
          <w:sz w:val="20"/>
          <w:szCs w:val="20"/>
          <w:color w:val="auto"/>
        </w:rPr>
      </w:pPr>
    </w:p>
    <w:p>
      <w:pPr>
        <w:ind w:left="1140" w:hanging="54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27" w:lineRule="exact"/>
        <w:rPr>
          <w:rFonts w:ascii="Arial" w:cs="Arial" w:eastAsia="Arial" w:hAnsi="Arial"/>
          <w:sz w:val="18"/>
          <w:szCs w:val="18"/>
          <w:color w:val="auto"/>
        </w:rPr>
      </w:pPr>
    </w:p>
    <w:p>
      <w:pPr>
        <w:ind w:left="1580" w:hanging="436"/>
        <w:spacing w:after="0"/>
        <w:tabs>
          <w:tab w:leader="none" w:pos="15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38" w:lineRule="exact"/>
        <w:rPr>
          <w:rFonts w:ascii="Arial" w:cs="Arial" w:eastAsia="Arial" w:hAnsi="Arial"/>
          <w:sz w:val="17"/>
          <w:szCs w:val="17"/>
          <w:color w:val="auto"/>
        </w:rPr>
      </w:pPr>
    </w:p>
    <w:p>
      <w:pPr>
        <w:ind w:left="2120" w:hanging="535"/>
        <w:spacing w:after="0"/>
        <w:tabs>
          <w:tab w:leader="none" w:pos="21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27" w:lineRule="exact"/>
        <w:rPr>
          <w:rFonts w:ascii="Arial" w:cs="Arial" w:eastAsia="Arial" w:hAnsi="Arial"/>
          <w:sz w:val="18"/>
          <w:szCs w:val="18"/>
          <w:color w:val="auto"/>
        </w:rPr>
      </w:pPr>
    </w:p>
    <w:p>
      <w:pPr>
        <w:jc w:val="both"/>
        <w:ind w:left="2120" w:hanging="535"/>
        <w:spacing w:after="0" w:line="259" w:lineRule="auto"/>
        <w:tabs>
          <w:tab w:leader="none" w:pos="21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92" w:lineRule="exact"/>
        <w:rPr>
          <w:rFonts w:ascii="Arial" w:cs="Arial" w:eastAsia="Arial" w:hAnsi="Arial"/>
          <w:sz w:val="18"/>
          <w:szCs w:val="18"/>
          <w:color w:val="auto"/>
        </w:rPr>
      </w:pPr>
    </w:p>
    <w:p>
      <w:pPr>
        <w:ind w:left="2120" w:right="540" w:hanging="535"/>
        <w:spacing w:after="0" w:line="271" w:lineRule="auto"/>
        <w:tabs>
          <w:tab w:leader="none" w:pos="21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Arial" w:cs="Arial" w:eastAsia="Arial" w:hAnsi="Arial"/>
          <w:sz w:val="18"/>
          <w:szCs w:val="18"/>
          <w:color w:val="auto"/>
        </w:rPr>
      </w:pPr>
    </w:p>
    <w:p>
      <w:pPr>
        <w:ind w:left="2140"/>
        <w:spacing w:after="0" w:line="253" w:lineRule="auto"/>
        <w:rPr>
          <w:rFonts w:ascii="Arial" w:cs="Arial" w:eastAsia="Arial" w:hAnsi="Arial"/>
          <w:sz w:val="18"/>
          <w:szCs w:val="18"/>
          <w:color w:val="auto"/>
        </w:rPr>
      </w:pPr>
      <w:r>
        <w:rPr>
          <w:rFonts w:ascii="Arial" w:cs="Arial" w:eastAsia="Arial" w:hAnsi="Arial"/>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right="280" w:hanging="436"/>
        <w:spacing w:after="0" w:line="259" w:lineRule="auto"/>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Arial" w:cs="Arial" w:eastAsia="Arial" w:hAnsi="Arial"/>
          <w:sz w:val="18"/>
          <w:szCs w:val="18"/>
          <w:color w:val="auto"/>
        </w:rPr>
      </w:pPr>
    </w:p>
    <w:p>
      <w:pPr>
        <w:ind w:left="1580" w:right="160" w:hanging="436"/>
        <w:spacing w:after="0" w:line="271" w:lineRule="auto"/>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0" w:lineRule="exact"/>
        <w:rPr>
          <w:rFonts w:ascii="Arial" w:cs="Arial" w:eastAsia="Arial" w:hAnsi="Arial"/>
          <w:sz w:val="18"/>
          <w:szCs w:val="18"/>
          <w:color w:val="auto"/>
        </w:rPr>
      </w:pPr>
    </w:p>
    <w:p>
      <w:pPr>
        <w:ind w:left="1580" w:hanging="436"/>
        <w:spacing w:after="0"/>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27" w:lineRule="exact"/>
        <w:rPr>
          <w:rFonts w:ascii="Arial" w:cs="Arial" w:eastAsia="Arial" w:hAnsi="Arial"/>
          <w:sz w:val="18"/>
          <w:szCs w:val="18"/>
          <w:color w:val="auto"/>
        </w:rPr>
      </w:pPr>
    </w:p>
    <w:p>
      <w:pPr>
        <w:ind w:left="2120" w:right="100" w:hanging="535"/>
        <w:spacing w:after="0" w:line="301" w:lineRule="auto"/>
        <w:tabs>
          <w:tab w:leader="none" w:pos="21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8" w:lineRule="exact"/>
        <w:rPr>
          <w:rFonts w:ascii="Arial" w:cs="Arial" w:eastAsia="Arial" w:hAnsi="Arial"/>
          <w:sz w:val="17"/>
          <w:szCs w:val="17"/>
          <w:color w:val="auto"/>
        </w:rPr>
      </w:pPr>
    </w:p>
    <w:p>
      <w:pPr>
        <w:ind w:left="2120" w:right="20" w:hanging="535"/>
        <w:spacing w:after="0" w:line="283" w:lineRule="auto"/>
        <w:tabs>
          <w:tab w:leader="none" w:pos="21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rFonts w:ascii="Arial" w:cs="Arial" w:eastAsia="Arial" w:hAnsi="Arial"/>
          <w:sz w:val="16"/>
          <w:szCs w:val="16"/>
          <w:color w:val="auto"/>
        </w:rPr>
      </w:pPr>
    </w:p>
    <w:p>
      <w:pPr>
        <w:ind w:left="1580" w:right="640" w:hanging="436"/>
        <w:spacing w:after="0" w:line="271" w:lineRule="auto"/>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5" w:lineRule="exact"/>
        <w:rPr>
          <w:sz w:val="20"/>
          <w:szCs w:val="20"/>
          <w:color w:val="auto"/>
        </w:rPr>
      </w:pPr>
    </w:p>
    <w:p>
      <w:pPr>
        <w:ind w:left="160" w:right="120"/>
        <w:spacing w:after="0" w:line="255"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7" w:lineRule="exact"/>
        <w:rPr>
          <w:sz w:val="20"/>
          <w:szCs w:val="20"/>
          <w:color w:val="auto"/>
        </w:rPr>
      </w:pPr>
    </w:p>
    <w:p>
      <w:pPr>
        <w:ind w:left="2120" w:right="140" w:hanging="535"/>
        <w:spacing w:after="0" w:line="271" w:lineRule="auto"/>
        <w:tabs>
          <w:tab w:leader="none" w:pos="2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0" w:lineRule="exact"/>
        <w:rPr>
          <w:rFonts w:ascii="Arial" w:cs="Arial" w:eastAsia="Arial" w:hAnsi="Arial"/>
          <w:sz w:val="18"/>
          <w:szCs w:val="18"/>
          <w:color w:val="auto"/>
        </w:rPr>
      </w:pPr>
    </w:p>
    <w:p>
      <w:pPr>
        <w:ind w:left="2120" w:right="40" w:hanging="535"/>
        <w:spacing w:after="0" w:line="271" w:lineRule="auto"/>
        <w:tabs>
          <w:tab w:leader="none" w:pos="2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0" w:lineRule="exact"/>
        <w:rPr>
          <w:rFonts w:ascii="Arial" w:cs="Arial" w:eastAsia="Arial" w:hAnsi="Arial"/>
          <w:sz w:val="18"/>
          <w:szCs w:val="18"/>
          <w:color w:val="auto"/>
        </w:rPr>
      </w:pPr>
    </w:p>
    <w:p>
      <w:pPr>
        <w:ind w:left="2120" w:right="840" w:hanging="535"/>
        <w:spacing w:after="0" w:line="301" w:lineRule="auto"/>
        <w:tabs>
          <w:tab w:leader="none" w:pos="21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58" w:lineRule="exact"/>
        <w:rPr>
          <w:rFonts w:ascii="Arial" w:cs="Arial" w:eastAsia="Arial" w:hAnsi="Arial"/>
          <w:sz w:val="17"/>
          <w:szCs w:val="17"/>
          <w:color w:val="auto"/>
        </w:rPr>
      </w:pPr>
    </w:p>
    <w:p>
      <w:pPr>
        <w:ind w:left="2120" w:hanging="535"/>
        <w:spacing w:after="0"/>
        <w:tabs>
          <w:tab w:leader="none" w:pos="2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27" w:lineRule="exact"/>
        <w:rPr>
          <w:rFonts w:ascii="Arial" w:cs="Arial" w:eastAsia="Arial" w:hAnsi="Arial"/>
          <w:sz w:val="18"/>
          <w:szCs w:val="18"/>
          <w:color w:val="auto"/>
        </w:rPr>
      </w:pPr>
    </w:p>
    <w:p>
      <w:pPr>
        <w:ind w:left="1140" w:hanging="545"/>
        <w:spacing w:after="0" w:line="259"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60"/>
          </w:cols>
          <w:pgMar w:left="320" w:top="456"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0"/>
        <w:spacing w:after="0" w:line="259" w:lineRule="auto"/>
        <w:rPr>
          <w:sz w:val="20"/>
          <w:szCs w:val="20"/>
          <w:color w:val="auto"/>
        </w:rPr>
      </w:pPr>
      <w:r>
        <w:rPr>
          <w:rFonts w:ascii="Arial" w:cs="Arial" w:eastAsia="Arial" w:hAnsi="Arial"/>
          <w:sz w:val="18"/>
          <w:szCs w:val="18"/>
          <w:color w:val="auto"/>
        </w:rPr>
        <w:t>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2" w:lineRule="exact"/>
        <w:rPr>
          <w:sz w:val="20"/>
          <w:szCs w:val="20"/>
          <w:color w:val="auto"/>
        </w:rPr>
      </w:pPr>
    </w:p>
    <w:p>
      <w:pPr>
        <w:ind w:left="1140" w:hanging="545"/>
        <w:spacing w:after="0" w:line="267" w:lineRule="auto"/>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20"/>
          </w:cols>
          <w:pgMar w:left="320" w:top="456" w:right="5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left="160" w:right="160" w:firstLine="43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August 10, 2020.</w:t>
      </w:r>
    </w:p>
    <w:p>
      <w:pPr>
        <w:spacing w:after="0" w:line="21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SHUTTERSTOCK, INC.</w:t>
      </w:r>
    </w:p>
    <w:p>
      <w:pPr>
        <w:spacing w:after="0" w:line="22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13335</wp:posOffset>
            </wp:positionV>
            <wp:extent cx="25393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Stan Pavlovsky</w:t>
      </w:r>
    </w:p>
    <w:p>
      <w:pPr>
        <w:spacing w:after="0" w:line="2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 and Director</w:t>
      </w:r>
    </w:p>
    <w:p>
      <w:pPr>
        <w:spacing w:after="0" w:line="221" w:lineRule="exact"/>
        <w:rPr>
          <w:sz w:val="20"/>
          <w:szCs w:val="20"/>
          <w:color w:val="auto"/>
        </w:rPr>
      </w:pPr>
    </w:p>
    <w:p>
      <w:pPr>
        <w:ind w:left="160" w:firstLine="436"/>
        <w:spacing w:after="0" w:line="288" w:lineRule="auto"/>
        <w:rPr>
          <w:sz w:val="20"/>
          <w:szCs w:val="20"/>
          <w:color w:val="auto"/>
        </w:rPr>
      </w:pPr>
      <w:r>
        <w:rPr>
          <w:rFonts w:ascii="Arial" w:cs="Arial" w:eastAsia="Arial" w:hAnsi="Arial"/>
          <w:sz w:val="16"/>
          <w:szCs w:val="16"/>
          <w:color w:val="auto"/>
        </w:rPr>
        <w:t>Each person whose signature appears below constitutes and appoints Stan Pavlovksy, Jarrod Yahes and Heidi Garfield, and each or any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66" w:lineRule="exact"/>
        <w:rPr>
          <w:sz w:val="20"/>
          <w:szCs w:val="20"/>
          <w:color w:val="auto"/>
        </w:rPr>
      </w:pPr>
    </w:p>
    <w:p>
      <w:pPr>
        <w:ind w:left="160" w:right="180" w:firstLine="436"/>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20" w:type="dxa"/>
            <w:vAlign w:val="bottom"/>
            <w:gridSpan w:val="2"/>
          </w:tcPr>
          <w:p>
            <w:pPr>
              <w:ind w:left="1640"/>
              <w:spacing w:after="0"/>
              <w:rPr>
                <w:sz w:val="20"/>
                <w:szCs w:val="20"/>
                <w:color w:val="auto"/>
              </w:rPr>
            </w:pPr>
            <w:r>
              <w:rPr>
                <w:rFonts w:ascii="Arial" w:cs="Arial" w:eastAsia="Arial" w:hAnsi="Arial"/>
                <w:sz w:val="14"/>
                <w:szCs w:val="14"/>
                <w:b w:val="1"/>
                <w:bCs w:val="1"/>
                <w:color w:val="auto"/>
                <w:w w:val="94"/>
              </w:rPr>
              <w:t>Name</w:t>
            </w:r>
          </w:p>
        </w:tc>
        <w:tc>
          <w:tcPr>
            <w:tcW w:w="1620" w:type="dxa"/>
            <w:vAlign w:val="bottom"/>
          </w:tcPr>
          <w:p>
            <w:pPr>
              <w:spacing w:after="0"/>
              <w:rPr>
                <w:sz w:val="14"/>
                <w:szCs w:val="14"/>
                <w:color w:val="auto"/>
              </w:rPr>
            </w:pPr>
          </w:p>
        </w:tc>
        <w:tc>
          <w:tcPr>
            <w:tcW w:w="4220" w:type="dxa"/>
            <w:vAlign w:val="bottom"/>
            <w:gridSpan w:val="3"/>
          </w:tcPr>
          <w:p>
            <w:pPr>
              <w:ind w:left="2460"/>
              <w:spacing w:after="0"/>
              <w:rPr>
                <w:sz w:val="20"/>
                <w:szCs w:val="20"/>
                <w:color w:val="auto"/>
              </w:rPr>
            </w:pPr>
            <w:r>
              <w:rPr>
                <w:rFonts w:ascii="Arial" w:cs="Arial" w:eastAsia="Arial" w:hAnsi="Arial"/>
                <w:sz w:val="14"/>
                <w:szCs w:val="14"/>
                <w:b w:val="1"/>
                <w:bCs w:val="1"/>
                <w:color w:val="auto"/>
              </w:rPr>
              <w:t>Title</w:t>
            </w:r>
          </w:p>
        </w:tc>
        <w:tc>
          <w:tcPr>
            <w:tcW w:w="2660" w:type="dxa"/>
            <w:vAlign w:val="bottom"/>
            <w:gridSpan w:val="3"/>
          </w:tcPr>
          <w:p>
            <w:pPr>
              <w:jc w:val="center"/>
              <w:ind w:left="1373"/>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0"/>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 Pavlovsky</w:t>
            </w: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2660" w:type="dxa"/>
            <w:vAlign w:val="bottom"/>
            <w:gridSpan w:val="3"/>
          </w:tcPr>
          <w:p>
            <w:pPr>
              <w:jc w:val="center"/>
              <w:ind w:left="1393"/>
              <w:spacing w:after="0"/>
              <w:rPr>
                <w:sz w:val="20"/>
                <w:szCs w:val="20"/>
                <w:color w:val="auto"/>
              </w:rPr>
            </w:pPr>
            <w:r>
              <w:rPr>
                <w:rFonts w:ascii="Arial" w:cs="Arial" w:eastAsia="Arial" w:hAnsi="Arial"/>
                <w:sz w:val="18"/>
                <w:szCs w:val="18"/>
                <w:color w:val="auto"/>
                <w:w w:val="89"/>
              </w:rPr>
              <w:t>August 10, 2020</w:t>
            </w:r>
          </w:p>
        </w:tc>
      </w:tr>
      <w:tr>
        <w:trPr>
          <w:trHeight w:val="222"/>
        </w:trPr>
        <w:tc>
          <w:tcPr>
            <w:tcW w:w="2020" w:type="dxa"/>
            <w:vAlign w:val="bottom"/>
            <w:gridSpan w:val="2"/>
          </w:tcPr>
          <w:p>
            <w:pPr>
              <w:spacing w:after="0"/>
              <w:rPr>
                <w:sz w:val="20"/>
                <w:szCs w:val="20"/>
                <w:color w:val="auto"/>
              </w:rPr>
            </w:pPr>
            <w:r>
              <w:rPr>
                <w:rFonts w:ascii="Arial" w:cs="Arial" w:eastAsia="Arial" w:hAnsi="Arial"/>
                <w:sz w:val="18"/>
                <w:szCs w:val="18"/>
                <w:color w:val="auto"/>
              </w:rPr>
              <w:t>Stan Pavlovksy</w:t>
            </w:r>
          </w:p>
        </w:tc>
        <w:tc>
          <w:tcPr>
            <w:tcW w:w="162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Jarrod Yahes</w:t>
            </w:r>
          </w:p>
        </w:tc>
        <w:tc>
          <w:tcPr>
            <w:tcW w:w="162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660" w:type="dxa"/>
            <w:vAlign w:val="bottom"/>
            <w:gridSpan w:val="3"/>
          </w:tcPr>
          <w:p>
            <w:pPr>
              <w:jc w:val="center"/>
              <w:ind w:left="1393"/>
              <w:spacing w:after="0"/>
              <w:rPr>
                <w:sz w:val="20"/>
                <w:szCs w:val="20"/>
                <w:color w:val="auto"/>
              </w:rPr>
            </w:pPr>
            <w:r>
              <w:rPr>
                <w:rFonts w:ascii="Arial" w:cs="Arial" w:eastAsia="Arial" w:hAnsi="Arial"/>
                <w:sz w:val="18"/>
                <w:szCs w:val="18"/>
                <w:color w:val="auto"/>
                <w:w w:val="89"/>
              </w:rPr>
              <w:t>August 10, 2020</w:t>
            </w:r>
          </w:p>
        </w:tc>
      </w:tr>
      <w:tr>
        <w:trPr>
          <w:trHeight w:val="222"/>
        </w:trPr>
        <w:tc>
          <w:tcPr>
            <w:tcW w:w="2020" w:type="dxa"/>
            <w:vAlign w:val="bottom"/>
            <w:gridSpan w:val="2"/>
          </w:tcPr>
          <w:p>
            <w:pPr>
              <w:spacing w:after="0"/>
              <w:rPr>
                <w:sz w:val="20"/>
                <w:szCs w:val="20"/>
                <w:color w:val="auto"/>
              </w:rPr>
            </w:pPr>
            <w:r>
              <w:rPr>
                <w:rFonts w:ascii="Arial" w:cs="Arial" w:eastAsia="Arial" w:hAnsi="Arial"/>
                <w:sz w:val="18"/>
                <w:szCs w:val="18"/>
                <w:color w:val="auto"/>
              </w:rPr>
              <w:t>Jarrod Yahes</w:t>
            </w:r>
          </w:p>
        </w:tc>
        <w:tc>
          <w:tcPr>
            <w:tcW w:w="162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Ciardiello</w:t>
            </w:r>
          </w:p>
        </w:tc>
        <w:tc>
          <w:tcPr>
            <w:tcW w:w="162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w:t>
            </w:r>
          </w:p>
        </w:tc>
        <w:tc>
          <w:tcPr>
            <w:tcW w:w="2660" w:type="dxa"/>
            <w:vAlign w:val="bottom"/>
            <w:gridSpan w:val="3"/>
          </w:tcPr>
          <w:p>
            <w:pPr>
              <w:jc w:val="center"/>
              <w:ind w:left="1393"/>
              <w:spacing w:after="0"/>
              <w:rPr>
                <w:sz w:val="20"/>
                <w:szCs w:val="20"/>
                <w:color w:val="auto"/>
              </w:rPr>
            </w:pPr>
            <w:r>
              <w:rPr>
                <w:rFonts w:ascii="Arial" w:cs="Arial" w:eastAsia="Arial" w:hAnsi="Arial"/>
                <w:sz w:val="18"/>
                <w:szCs w:val="18"/>
                <w:color w:val="auto"/>
                <w:w w:val="89"/>
              </w:rPr>
              <w:t>August 10, 2020</w:t>
            </w:r>
          </w:p>
        </w:tc>
      </w:tr>
      <w:tr>
        <w:trPr>
          <w:trHeight w:val="222"/>
        </w:trPr>
        <w:tc>
          <w:tcPr>
            <w:tcW w:w="2020" w:type="dxa"/>
            <w:vAlign w:val="bottom"/>
            <w:gridSpan w:val="2"/>
          </w:tcPr>
          <w:p>
            <w:pPr>
              <w:spacing w:after="0"/>
              <w:rPr>
                <w:sz w:val="20"/>
                <w:szCs w:val="20"/>
                <w:color w:val="auto"/>
              </w:rPr>
            </w:pPr>
            <w:r>
              <w:rPr>
                <w:rFonts w:ascii="Arial" w:cs="Arial" w:eastAsia="Arial" w:hAnsi="Arial"/>
                <w:sz w:val="18"/>
                <w:szCs w:val="18"/>
                <w:color w:val="auto"/>
              </w:rPr>
              <w:t>Steven Ciardiello</w:t>
            </w:r>
          </w:p>
        </w:tc>
        <w:tc>
          <w:tcPr>
            <w:tcW w:w="162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8"/>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Oringer</w:t>
            </w:r>
          </w:p>
        </w:tc>
        <w:tc>
          <w:tcPr>
            <w:tcW w:w="162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Executive Chairman of the Board</w:t>
            </w:r>
          </w:p>
        </w:tc>
        <w:tc>
          <w:tcPr>
            <w:tcW w:w="2660" w:type="dxa"/>
            <w:vAlign w:val="bottom"/>
            <w:gridSpan w:val="3"/>
          </w:tcPr>
          <w:p>
            <w:pPr>
              <w:jc w:val="center"/>
              <w:ind w:left="1393"/>
              <w:spacing w:after="0"/>
              <w:rPr>
                <w:sz w:val="20"/>
                <w:szCs w:val="20"/>
                <w:color w:val="auto"/>
              </w:rPr>
            </w:pPr>
            <w:r>
              <w:rPr>
                <w:rFonts w:ascii="Arial" w:cs="Arial" w:eastAsia="Arial" w:hAnsi="Arial"/>
                <w:sz w:val="18"/>
                <w:szCs w:val="18"/>
                <w:color w:val="auto"/>
                <w:w w:val="89"/>
              </w:rPr>
              <w:t>August 10, 2020</w:t>
            </w:r>
          </w:p>
        </w:tc>
      </w:tr>
      <w:tr>
        <w:trPr>
          <w:trHeight w:val="221"/>
        </w:trPr>
        <w:tc>
          <w:tcPr>
            <w:tcW w:w="2020" w:type="dxa"/>
            <w:vAlign w:val="bottom"/>
            <w:gridSpan w:val="2"/>
          </w:tcPr>
          <w:p>
            <w:pPr>
              <w:spacing w:after="0"/>
              <w:rPr>
                <w:sz w:val="20"/>
                <w:szCs w:val="20"/>
                <w:color w:val="auto"/>
              </w:rPr>
            </w:pPr>
            <w:r>
              <w:rPr>
                <w:rFonts w:ascii="Arial" w:cs="Arial" w:eastAsia="Arial" w:hAnsi="Arial"/>
                <w:sz w:val="18"/>
                <w:szCs w:val="18"/>
                <w:color w:val="auto"/>
              </w:rPr>
              <w:t>Jonathan Oringer</w:t>
            </w:r>
          </w:p>
        </w:tc>
        <w:tc>
          <w:tcPr>
            <w:tcW w:w="1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8"/>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Rachna Bhasin</w:t>
            </w:r>
          </w:p>
        </w:tc>
        <w:tc>
          <w:tcPr>
            <w:tcW w:w="162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660" w:type="dxa"/>
            <w:vAlign w:val="bottom"/>
            <w:gridSpan w:val="3"/>
          </w:tcPr>
          <w:p>
            <w:pPr>
              <w:jc w:val="center"/>
              <w:ind w:left="1393"/>
              <w:spacing w:after="0"/>
              <w:rPr>
                <w:sz w:val="20"/>
                <w:szCs w:val="20"/>
                <w:color w:val="auto"/>
              </w:rPr>
            </w:pPr>
            <w:r>
              <w:rPr>
                <w:rFonts w:ascii="Arial" w:cs="Arial" w:eastAsia="Arial" w:hAnsi="Arial"/>
                <w:sz w:val="18"/>
                <w:szCs w:val="18"/>
                <w:color w:val="auto"/>
                <w:w w:val="89"/>
              </w:rPr>
              <w:t>August 10, 2020</w:t>
            </w:r>
          </w:p>
        </w:tc>
      </w:tr>
      <w:tr>
        <w:trPr>
          <w:trHeight w:val="221"/>
        </w:trPr>
        <w:tc>
          <w:tcPr>
            <w:tcW w:w="2020" w:type="dxa"/>
            <w:vAlign w:val="bottom"/>
            <w:gridSpan w:val="2"/>
          </w:tcPr>
          <w:p>
            <w:pPr>
              <w:spacing w:after="0"/>
              <w:rPr>
                <w:sz w:val="20"/>
                <w:szCs w:val="20"/>
                <w:color w:val="auto"/>
              </w:rPr>
            </w:pPr>
            <w:r>
              <w:rPr>
                <w:rFonts w:ascii="Arial" w:cs="Arial" w:eastAsia="Arial" w:hAnsi="Arial"/>
                <w:sz w:val="18"/>
                <w:szCs w:val="18"/>
                <w:color w:val="auto"/>
              </w:rPr>
              <w:t>Rachna Bhasin</w:t>
            </w:r>
          </w:p>
        </w:tc>
        <w:tc>
          <w:tcPr>
            <w:tcW w:w="1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8"/>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Deirdre M. Bigley</w:t>
            </w:r>
          </w:p>
        </w:tc>
        <w:tc>
          <w:tcPr>
            <w:tcW w:w="162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660" w:type="dxa"/>
            <w:vAlign w:val="bottom"/>
            <w:gridSpan w:val="3"/>
          </w:tcPr>
          <w:p>
            <w:pPr>
              <w:jc w:val="center"/>
              <w:ind w:left="1393"/>
              <w:spacing w:after="0"/>
              <w:rPr>
                <w:sz w:val="20"/>
                <w:szCs w:val="20"/>
                <w:color w:val="auto"/>
              </w:rPr>
            </w:pPr>
            <w:r>
              <w:rPr>
                <w:rFonts w:ascii="Arial" w:cs="Arial" w:eastAsia="Arial" w:hAnsi="Arial"/>
                <w:sz w:val="18"/>
                <w:szCs w:val="18"/>
                <w:color w:val="auto"/>
                <w:w w:val="89"/>
              </w:rPr>
              <w:t>August 10, 2020</w:t>
            </w:r>
          </w:p>
        </w:tc>
      </w:tr>
      <w:tr>
        <w:trPr>
          <w:trHeight w:val="221"/>
        </w:trPr>
        <w:tc>
          <w:tcPr>
            <w:tcW w:w="2020" w:type="dxa"/>
            <w:vAlign w:val="bottom"/>
            <w:gridSpan w:val="2"/>
          </w:tcPr>
          <w:p>
            <w:pPr>
              <w:spacing w:after="0"/>
              <w:rPr>
                <w:sz w:val="20"/>
                <w:szCs w:val="20"/>
                <w:color w:val="auto"/>
              </w:rPr>
            </w:pPr>
            <w:r>
              <w:rPr>
                <w:rFonts w:ascii="Arial" w:cs="Arial" w:eastAsia="Arial" w:hAnsi="Arial"/>
                <w:sz w:val="18"/>
                <w:szCs w:val="18"/>
                <w:color w:val="auto"/>
              </w:rPr>
              <w:t>Deirdre M. Bigley</w:t>
            </w:r>
          </w:p>
        </w:tc>
        <w:tc>
          <w:tcPr>
            <w:tcW w:w="1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8"/>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 Epstein</w:t>
            </w:r>
          </w:p>
        </w:tc>
        <w:tc>
          <w:tcPr>
            <w:tcW w:w="162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660" w:type="dxa"/>
            <w:vAlign w:val="bottom"/>
            <w:gridSpan w:val="3"/>
          </w:tcPr>
          <w:p>
            <w:pPr>
              <w:jc w:val="center"/>
              <w:ind w:left="1393"/>
              <w:spacing w:after="0"/>
              <w:rPr>
                <w:sz w:val="20"/>
                <w:szCs w:val="20"/>
                <w:color w:val="auto"/>
              </w:rPr>
            </w:pPr>
            <w:r>
              <w:rPr>
                <w:rFonts w:ascii="Arial" w:cs="Arial" w:eastAsia="Arial" w:hAnsi="Arial"/>
                <w:sz w:val="18"/>
                <w:szCs w:val="18"/>
                <w:color w:val="auto"/>
                <w:w w:val="89"/>
              </w:rPr>
              <w:t>August 10, 2020</w:t>
            </w:r>
          </w:p>
        </w:tc>
      </w:tr>
      <w:tr>
        <w:trPr>
          <w:trHeight w:val="221"/>
        </w:trPr>
        <w:tc>
          <w:tcPr>
            <w:tcW w:w="2020" w:type="dxa"/>
            <w:vAlign w:val="bottom"/>
            <w:gridSpan w:val="2"/>
          </w:tcPr>
          <w:p>
            <w:pPr>
              <w:spacing w:after="0"/>
              <w:rPr>
                <w:sz w:val="20"/>
                <w:szCs w:val="20"/>
                <w:color w:val="auto"/>
              </w:rPr>
            </w:pPr>
            <w:r>
              <w:rPr>
                <w:rFonts w:ascii="Arial" w:cs="Arial" w:eastAsia="Arial" w:hAnsi="Arial"/>
                <w:sz w:val="18"/>
                <w:szCs w:val="18"/>
                <w:color w:val="auto"/>
              </w:rPr>
              <w:t>Jeff Epstein</w:t>
            </w:r>
          </w:p>
        </w:tc>
        <w:tc>
          <w:tcPr>
            <w:tcW w:w="1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8"/>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R. Evans</w:t>
            </w:r>
          </w:p>
        </w:tc>
        <w:tc>
          <w:tcPr>
            <w:tcW w:w="162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660" w:type="dxa"/>
            <w:vAlign w:val="bottom"/>
            <w:gridSpan w:val="3"/>
          </w:tcPr>
          <w:p>
            <w:pPr>
              <w:jc w:val="center"/>
              <w:ind w:left="1393"/>
              <w:spacing w:after="0"/>
              <w:rPr>
                <w:sz w:val="20"/>
                <w:szCs w:val="20"/>
                <w:color w:val="auto"/>
              </w:rPr>
            </w:pPr>
            <w:r>
              <w:rPr>
                <w:rFonts w:ascii="Arial" w:cs="Arial" w:eastAsia="Arial" w:hAnsi="Arial"/>
                <w:sz w:val="18"/>
                <w:szCs w:val="18"/>
                <w:color w:val="auto"/>
                <w:w w:val="89"/>
              </w:rPr>
              <w:t>August 10, 2020</w:t>
            </w:r>
          </w:p>
        </w:tc>
      </w:tr>
      <w:tr>
        <w:trPr>
          <w:trHeight w:val="221"/>
        </w:trPr>
        <w:tc>
          <w:tcPr>
            <w:tcW w:w="2020" w:type="dxa"/>
            <w:vAlign w:val="bottom"/>
            <w:gridSpan w:val="2"/>
          </w:tcPr>
          <w:p>
            <w:pPr>
              <w:spacing w:after="0"/>
              <w:rPr>
                <w:sz w:val="20"/>
                <w:szCs w:val="20"/>
                <w:color w:val="auto"/>
              </w:rPr>
            </w:pPr>
            <w:r>
              <w:rPr>
                <w:rFonts w:ascii="Arial" w:cs="Arial" w:eastAsia="Arial" w:hAnsi="Arial"/>
                <w:sz w:val="18"/>
                <w:szCs w:val="18"/>
                <w:color w:val="auto"/>
              </w:rPr>
              <w:t>Thomas R. Evans</w:t>
            </w:r>
          </w:p>
        </w:tc>
        <w:tc>
          <w:tcPr>
            <w:tcW w:w="1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8"/>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J. Hennessy</w:t>
            </w:r>
          </w:p>
        </w:tc>
        <w:tc>
          <w:tcPr>
            <w:tcW w:w="162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660" w:type="dxa"/>
            <w:vAlign w:val="bottom"/>
            <w:gridSpan w:val="3"/>
          </w:tcPr>
          <w:p>
            <w:pPr>
              <w:jc w:val="center"/>
              <w:ind w:left="1393"/>
              <w:spacing w:after="0"/>
              <w:rPr>
                <w:sz w:val="20"/>
                <w:szCs w:val="20"/>
                <w:color w:val="auto"/>
              </w:rPr>
            </w:pPr>
            <w:r>
              <w:rPr>
                <w:rFonts w:ascii="Arial" w:cs="Arial" w:eastAsia="Arial" w:hAnsi="Arial"/>
                <w:sz w:val="18"/>
                <w:szCs w:val="18"/>
                <w:color w:val="auto"/>
                <w:w w:val="89"/>
              </w:rPr>
              <w:t>August 10, 2020</w:t>
            </w:r>
          </w:p>
        </w:tc>
      </w:tr>
      <w:tr>
        <w:trPr>
          <w:trHeight w:val="221"/>
        </w:trPr>
        <w:tc>
          <w:tcPr>
            <w:tcW w:w="2020" w:type="dxa"/>
            <w:vAlign w:val="bottom"/>
            <w:gridSpan w:val="2"/>
          </w:tcPr>
          <w:p>
            <w:pPr>
              <w:spacing w:after="0"/>
              <w:rPr>
                <w:sz w:val="20"/>
                <w:szCs w:val="20"/>
                <w:color w:val="auto"/>
              </w:rPr>
            </w:pPr>
            <w:r>
              <w:rPr>
                <w:rFonts w:ascii="Arial" w:cs="Arial" w:eastAsia="Arial" w:hAnsi="Arial"/>
                <w:sz w:val="18"/>
                <w:szCs w:val="18"/>
                <w:color w:val="auto"/>
              </w:rPr>
              <w:t>Paul J. Hennessy</w:t>
            </w:r>
          </w:p>
        </w:tc>
        <w:tc>
          <w:tcPr>
            <w:tcW w:w="1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60"/>
        </w:trPr>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20" w:type="dxa"/>
            <w:vAlign w:val="bottom"/>
            <w:gridSpan w:val="3"/>
          </w:tcPr>
          <w:p>
            <w:pPr>
              <w:ind w:left="1700"/>
              <w:spacing w:after="0"/>
              <w:rPr>
                <w:sz w:val="20"/>
                <w:szCs w:val="20"/>
                <w:color w:val="auto"/>
              </w:rPr>
            </w:pPr>
            <w:r>
              <w:rPr>
                <w:rFonts w:ascii="Arial" w:cs="Arial" w:eastAsia="Arial" w:hAnsi="Arial"/>
                <w:sz w:val="18"/>
                <w:szCs w:val="18"/>
                <w:color w:val="auto"/>
              </w:rPr>
              <w:t>II-5</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040"/>
          </w:cols>
          <w:pgMar w:left="320" w:top="456" w:right="539" w:bottom="1440" w:gutter="0" w:footer="0" w:header="0"/>
        </w:sectPr>
      </w:pPr>
    </w:p>
    <w:bookmarkStart w:id="24" w:name="page25"/>
    <w:bookmarkEnd w:id="24"/>
    <w:p>
      <w:pPr>
        <w:ind w:left="912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183515</wp:posOffset>
            </wp:positionV>
            <wp:extent cx="7094855" cy="4755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094855" cy="4755515"/>
                    </a:xfrm>
                    <a:prstGeom prst="rect">
                      <a:avLst/>
                    </a:prstGeom>
                    <a:noFill/>
                  </pic:spPr>
                </pic:pic>
              </a:graphicData>
            </a:graphic>
          </wp:anchor>
        </w:drawing>
      </w:r>
    </w:p>
    <w:p>
      <w:pPr>
        <w:sectPr>
          <w:pgSz w:w="11900" w:h="16838" w:orient="portrait"/>
          <w:cols w:equalWidth="0" w:num="1">
            <w:col w:w="9960"/>
          </w:cols>
          <w:pgMar w:left="1440" w:top="121" w:right="499"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5868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50735" cy="5868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Shutterstock,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350 Fifth Avenue, 21st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10118</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436"/>
        <w:spacing w:after="0" w:line="288" w:lineRule="auto"/>
        <w:rPr>
          <w:sz w:val="20"/>
          <w:szCs w:val="20"/>
          <w:color w:val="auto"/>
        </w:rPr>
      </w:pPr>
      <w:r>
        <w:rPr>
          <w:rFonts w:ascii="Arial" w:cs="Arial" w:eastAsia="Arial" w:hAnsi="Arial"/>
          <w:sz w:val="16"/>
          <w:szCs w:val="16"/>
          <w:color w:val="auto"/>
        </w:rPr>
        <w:t>We are acting as counsel to Shutterstock,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Company’s Registration Statement on Form S-3 (as it may be amended from time to time,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with respect to the contemplated issuance from time to time, as set forth in the prospectus contained in the Registration Statement (the “</w:t>
      </w:r>
      <w:r>
        <w:rPr>
          <w:rFonts w:ascii="Arial" w:cs="Arial" w:eastAsia="Arial" w:hAnsi="Arial"/>
          <w:sz w:val="16"/>
          <w:szCs w:val="16"/>
          <w:u w:val="single" w:color="auto"/>
          <w:color w:val="auto"/>
        </w:rPr>
        <w:t>Prospectus</w:t>
      </w:r>
      <w:r>
        <w:rPr>
          <w:rFonts w:ascii="Arial" w:cs="Arial" w:eastAsia="Arial" w:hAnsi="Arial"/>
          <w:sz w:val="16"/>
          <w:szCs w:val="16"/>
          <w:color w:val="auto"/>
        </w:rPr>
        <w:t>”) and as may be set forth in one or more supplements to the Prospectus (each, a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of shares of the Company’s common stock, $0.01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spacing w:after="0" w:line="166"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In connection with this opinion, we have (i) investigated such questions of law, (ii) examined originals or certified, conformed, electronic or reproduction copies of such agreements, instruments, documents and records of the Company, such certificates of public officials and such other documents and (iii) received such information from officers and representatives of the Company and others, in each case as we have deemed necessary or appropriate for the purposes of this opinion.</w:t>
      </w:r>
    </w:p>
    <w:p>
      <w:pPr>
        <w:spacing w:after="0" w:line="190" w:lineRule="exact"/>
        <w:rPr>
          <w:sz w:val="20"/>
          <w:szCs w:val="20"/>
          <w:color w:val="auto"/>
        </w:rPr>
      </w:pPr>
    </w:p>
    <w:p>
      <w:pPr>
        <w:ind w:right="180" w:firstLine="436"/>
        <w:spacing w:after="0" w:line="272" w:lineRule="auto"/>
        <w:rPr>
          <w:sz w:val="20"/>
          <w:szCs w:val="20"/>
          <w:color w:val="auto"/>
        </w:rPr>
      </w:pPr>
      <w:r>
        <w:rPr>
          <w:rFonts w:ascii="Arial" w:cs="Arial" w:eastAsia="Arial" w:hAnsi="Arial"/>
          <w:sz w:val="17"/>
          <w:szCs w:val="17"/>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certified, conformed, electronic or reproduction copies. As to various questions of fact relevant to the opinion expressed herein, we have relied upon, and assume the accuracy of, the statements, representations and warranties contained in certificates and oral or written statements and other information of or from public officials, officers or other appropriate representatives of the Company and others.</w:t>
      </w:r>
    </w:p>
    <w:p>
      <w:pPr>
        <w:spacing w:after="0" w:line="176" w:lineRule="exact"/>
        <w:rPr>
          <w:sz w:val="20"/>
          <w:szCs w:val="20"/>
          <w:color w:val="auto"/>
        </w:rPr>
      </w:pPr>
    </w:p>
    <w:p>
      <w:pPr>
        <w:ind w:right="140" w:firstLine="436"/>
        <w:spacing w:after="0" w:line="335" w:lineRule="auto"/>
        <w:rPr>
          <w:sz w:val="20"/>
          <w:szCs w:val="20"/>
          <w:color w:val="auto"/>
        </w:rPr>
      </w:pPr>
      <w:r>
        <w:rPr>
          <w:rFonts w:ascii="Arial" w:cs="Arial" w:eastAsia="Arial" w:hAnsi="Arial"/>
          <w:sz w:val="16"/>
          <w:szCs w:val="16"/>
          <w:color w:val="auto"/>
        </w:rPr>
        <w:t>To the extent it may be relevant to the opinion expressed herein, we have assumed that the Company will have sufficient authorized but unissued and unreserved shares of Common Stock on the date of any issuance of shares thereof registered pursuant to the Registration Statement.</w:t>
      </w:r>
    </w:p>
    <w:p>
      <w:pPr>
        <w:spacing w:after="0" w:line="128" w:lineRule="exact"/>
        <w:rPr>
          <w:sz w:val="20"/>
          <w:szCs w:val="20"/>
          <w:color w:val="auto"/>
        </w:rPr>
      </w:pPr>
    </w:p>
    <w:p>
      <w:pPr>
        <w:ind w:right="300" w:firstLine="436"/>
        <w:spacing w:after="0" w:line="335" w:lineRule="auto"/>
        <w:rPr>
          <w:sz w:val="20"/>
          <w:szCs w:val="20"/>
          <w:color w:val="auto"/>
        </w:rPr>
      </w:pPr>
      <w:r>
        <w:rPr>
          <w:rFonts w:ascii="Arial" w:cs="Arial" w:eastAsia="Arial" w:hAnsi="Arial"/>
          <w:sz w:val="16"/>
          <w:szCs w:val="16"/>
          <w:color w:val="auto"/>
        </w:rPr>
        <w:t>Based upon the foregoing and subject to the limitations, qualifications and assumptions set forth herein, we are of the opinion that when (i) the Registration Statement and any amendments thereto (including any post-effective amendments) have become effective under the Securities Act,</w:t>
      </w:r>
    </w:p>
    <w:p>
      <w:pPr>
        <w:sectPr>
          <w:pgSz w:w="11900" w:h="16838" w:orient="portrait"/>
          <w:cols w:equalWidth="0" w:num="1">
            <w:col w:w="10920"/>
          </w:cols>
          <w:pgMar w:left="480" w:top="121" w:right="499" w:bottom="1440" w:gutter="0" w:footer="0" w:header="0"/>
        </w:sectPr>
      </w:pPr>
    </w:p>
    <w:bookmarkStart w:id="27" w:name="page28"/>
    <w:bookmarkEnd w:id="27"/>
    <w:p>
      <w:pPr>
        <w:ind w:right="100" w:firstLine="7"/>
        <w:spacing w:after="0" w:line="267" w:lineRule="auto"/>
        <w:tabs>
          <w:tab w:leader="none" w:pos="262"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terms of the issuance and sale of such shares of Common Stock by the Company registered pursuant to the Registration Statement have been duly approved by the Board of Directors of the Company or an authorized committee thereof in conformity with the Amended and Restated Certificate of Incorporation of the Company and the Amended and Restated Bylaws of the Company and all other necessary corporate action on the part of the Company has been taken in connection therewith and in a manner so as not to violate any applicable law or result in a default under or breach of any agreement or instrument then binding on the Company and so as to comply with any requirement or restriction imposed by any court or governmental body having jurisdiction over the Company and (iii) such shares of Common Stock have been issued and delivered against payment therefor in an amount in excess of the par value thereof, in accordance with the terms of the agreement under which they are sold and in the manner contemplated by the Registration Statement together with the applicable Prospectus Supplement, such shares of Common Stock will be validly issued, fully paid and non-assessable.</w:t>
      </w:r>
    </w:p>
    <w:p>
      <w:pPr>
        <w:spacing w:after="0" w:line="183" w:lineRule="exact"/>
        <w:rPr>
          <w:sz w:val="20"/>
          <w:szCs w:val="20"/>
          <w:color w:val="auto"/>
        </w:rPr>
      </w:pPr>
    </w:p>
    <w:p>
      <w:pPr>
        <w:ind w:right="20" w:firstLine="436"/>
        <w:spacing w:after="0" w:line="297" w:lineRule="auto"/>
        <w:rPr>
          <w:sz w:val="20"/>
          <w:szCs w:val="20"/>
          <w:color w:val="auto"/>
        </w:rPr>
      </w:pPr>
      <w:r>
        <w:rPr>
          <w:rFonts w:ascii="Arial" w:cs="Arial" w:eastAsia="Arial" w:hAnsi="Arial"/>
          <w:sz w:val="16"/>
          <w:szCs w:val="16"/>
          <w:color w:val="auto"/>
        </w:rPr>
        <w:t>The opinion expressed herein is limited to the applicable provisions of the General Corporation Law of the State of Delaware as currently in effect, and no opinion is expressed with respect to any other laws or any effect that such other laws may have on the opinion expressed herein. The opinion expressed herein is limited to the matters stated herein, and no opinion is implied or may be inferred beyond the matters expressly stated herein. This letter is given only as of the time of its delivery, and we undertake no responsibility to update or supplement this letter after its delivery.</w:t>
      </w:r>
    </w:p>
    <w:p>
      <w:pPr>
        <w:spacing w:after="0" w:line="159" w:lineRule="exact"/>
        <w:rPr>
          <w:sz w:val="20"/>
          <w:szCs w:val="20"/>
          <w:color w:val="auto"/>
        </w:rPr>
      </w:pPr>
    </w:p>
    <w:p>
      <w:pPr>
        <w:ind w:right="160" w:firstLine="436"/>
        <w:spacing w:after="0" w:line="281"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reference to this firm under the caption “Legal Matters” in the Prospectus included in the Registration Statement. In giving this consent, we do not hereby admit that we are in the category of persons whose consent is required under Section 7 of the Securities Act or the rules and regulations of the Commission.</w:t>
      </w:r>
    </w:p>
    <w:p>
      <w:pPr>
        <w:spacing w:after="0" w:line="19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Fried, Frank, Harris, Shriver &amp; Jacobson LLP</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FRIED, FRANK, HARRIS, SHRIVER &amp; JACOBSON LLP</w:t>
      </w:r>
    </w:p>
    <w:p>
      <w:pPr>
        <w:sectPr>
          <w:pgSz w:w="11900" w:h="16838" w:orient="portrait"/>
          <w:cols w:equalWidth="0" w:num="1">
            <w:col w:w="10880"/>
          </w:cols>
          <w:pgMar w:left="480" w:top="272" w:right="5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1"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We hereby consent to the incorporation by reference in this Registration Statement on Form S-3 of Shutterstock, Inc. of our report dated February 13, 2020 relating to the financial statements and the effectiveness of internal control over financial reporting, which appears in Shutterstock, Inc.’s Annual Report on Form 10-K for the year ended December 31, 2019. We also consent to the reference to us under the heading “Experts” in such Registration Statement.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August 10, 2020</w:t>
      </w:r>
    </w:p>
    <w:sectPr>
      <w:pgSz w:w="11900" w:h="16838" w:orient="portrait"/>
      <w:cols w:equalWidth="0" w:num="1">
        <w:col w:w="10920"/>
      </w:cols>
      <w:pgMar w:left="48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646"/>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6B68079A"/>
    <w:multiLevelType w:val="hybridMultilevel"/>
    <w:lvl w:ilvl="0">
      <w:lvlJc w:val="left"/>
      <w:lvlText w:val="(%1)"/>
      <w:numFmt w:val="decimal"/>
      <w:start w:val="2"/>
    </w:lvl>
    <w:lvl w:ilvl="1">
      <w:lvlJc w:val="left"/>
      <w:lvlText w:val="(%2)"/>
      <w:numFmt w:val="lowerRoman"/>
      <w:start w:val="1"/>
    </w:lvl>
  </w:abstractNum>
  <w:abstractNum w:abstractNumId="14">
    <w:nsid w:val="4E6AFB66"/>
    <w:multiLevelType w:val="hybridMultilevel"/>
    <w:lvl w:ilvl="0">
      <w:lvlJc w:val="left"/>
      <w:lvlText w:val="%1"/>
      <w:numFmt w:val="lowerLetter"/>
      <w:start w:val="1"/>
    </w:lvl>
    <w:lvl w:ilvl="1">
      <w:lvlJc w:val="left"/>
      <w:lvlText w:val="(%2)"/>
      <w:numFmt w:val="lowerRoman"/>
      <w:start w:val="1"/>
    </w:lvl>
  </w:abstractNum>
  <w:abstractNum w:abstractNumId="15">
    <w:nsid w:val="25E45D32"/>
    <w:multiLevelType w:val="hybridMultilevel"/>
    <w:lvl w:ilvl="0">
      <w:lvlJc w:val="left"/>
      <w:lvlText w:val="(%1)"/>
      <w:numFmt w:val="lowerLetter"/>
      <w:start w:val="2"/>
    </w:lvl>
    <w:lvl w:ilvl="1">
      <w:lvlJc w:val="left"/>
      <w:lvlText w:val="%2"/>
      <w:numFmt w:val="lowerRoman"/>
      <w:start w:val="1"/>
    </w:lvl>
  </w:abstractNum>
  <w:abstractNum w:abstractNumId="16">
    <w:nsid w:val="519B500D"/>
    <w:multiLevelType w:val="hybridMultilevel"/>
    <w:lvl w:ilvl="0">
      <w:lvlJc w:val="left"/>
      <w:lvlText w:val="(%1)"/>
      <w:numFmt w:val="lowerLetter"/>
      <w:start w:val="3"/>
    </w:lvl>
  </w:abstractNum>
  <w:abstractNum w:abstractNumId="17">
    <w:nsid w:val="431BD7B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jpeg"/><Relationship Id="rId58" Type="http://schemas.openxmlformats.org/officeDocument/2006/relationships/image" Target="media/image41.png"/><Relationship Id="rId59" Type="http://schemas.openxmlformats.org/officeDocument/2006/relationships/image" Target="media/image42.png"/><Relationship Id="rId23" Type="http://schemas.openxmlformats.org/officeDocument/2006/relationships/hyperlink" Target="http://www.sec.gov/ix?doc=/Archives/edgar/data/1549346/000154934620000007/a2019q410-kdocument.htm" TargetMode="External"/><Relationship Id="rId24" Type="http://schemas.openxmlformats.org/officeDocument/2006/relationships/hyperlink" Target="http://www.sec.gov/ix?doc=/Archives/edgar/data/1549346/000154934620000023/sstk-20200331.htm" TargetMode="External"/><Relationship Id="rId42" Type="http://schemas.openxmlformats.org/officeDocument/2006/relationships/hyperlink" Target="http://www.sec.gov/Archives/edgar/data/1549346/000154934620000017/a2020-def_14a.htm" TargetMode="External"/><Relationship Id="rId43" Type="http://schemas.openxmlformats.org/officeDocument/2006/relationships/hyperlink" Target="http://www.sec.gov/ix?doc=/Archives/edgar/data/1549346/000154934620000033/sstk-20200630.htm" TargetMode="External"/><Relationship Id="rId44" Type="http://schemas.openxmlformats.org/officeDocument/2006/relationships/hyperlink" Target="http://www.sec.gov/ix?doc=/Archives/edgar/data/1549346/000154934620000012/a2020-8xkx2020x02x28xl.htm" TargetMode="External"/><Relationship Id="rId45" Type="http://schemas.openxmlformats.org/officeDocument/2006/relationships/hyperlink" Target="http://www.sec.gov/ix?doc=/Archives/edgar/data/1549346/000154934620000014/a2020-8xkx2020x02x28xl.htm" TargetMode="External"/><Relationship Id="rId46" Type="http://schemas.openxmlformats.org/officeDocument/2006/relationships/hyperlink" Target="http://www.sec.gov/ix?doc=/Archives/edgar/data/1549346/000154934620000025/a2020-8xkx2020x06x04xa.htm" TargetMode="External"/><Relationship Id="rId47" Type="http://schemas.openxmlformats.org/officeDocument/2006/relationships/hyperlink" Target="http://www.sec.gov/Archives/edgar/data/1549346/000110465912065731/a12-11073_78a12b.htm" TargetMode="External"/><Relationship Id="rId51" Type="http://schemas.openxmlformats.org/officeDocument/2006/relationships/hyperlink" Target="http://www.sec.gov/Archives/edgar/data/1549346/000104746912006975/a2209974zex-3_2.htm" TargetMode="External"/><Relationship Id="rId52" Type="http://schemas.openxmlformats.org/officeDocument/2006/relationships/hyperlink" Target="http://www.sec.gov/Archives/edgar/data/1549346/000104746912006975/a2209974zex-3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2020-08-10T15:26:33Z</dcterms:created>
  <dcterms:modified xsi:type="dcterms:W3CDTF">2020-08-10T15:26:33Z</dcterms:modified>
</cp:coreProperties>
</file>