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178435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60" w:right="4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60" w:right="3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233" w:right="199" w:bottom="0" w:gutter="0" w:footer="0" w:header="0"/>
        </w:sectPr>
      </w:pPr>
    </w:p>
    <w:p>
      <w:pPr>
        <w:spacing w:after="0" w:line="91"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67" w:lineRule="exact"/>
        <w:rPr>
          <w:sz w:val="24"/>
          <w:szCs w:val="24"/>
          <w:color w:val="auto"/>
        </w:rPr>
      </w:pPr>
    </w:p>
    <w:p>
      <w:pPr>
        <w:sectPr>
          <w:pgSz w:w="11900" w:h="16838" w:orient="portrait"/>
          <w:cols w:equalWidth="0" w:num="2">
            <w:col w:w="6220" w:space="620"/>
            <w:col w:w="4620"/>
          </w:cols>
          <w:pgMar w:left="240" w:top="233" w:right="199" w:bottom="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173990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type w:val="continuous"/>
        </w:sectPr>
      </w:pPr>
    </w:p>
    <w:p>
      <w:pPr>
        <w:spacing w:after="0" w:line="200" w:lineRule="exact"/>
        <w:rPr>
          <w:sz w:val="24"/>
          <w:szCs w:val="24"/>
          <w:color w:val="auto"/>
        </w:rPr>
      </w:pPr>
    </w:p>
    <w:p>
      <w:pPr>
        <w:spacing w:after="0" w:line="312"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80-0812659</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 Broad Street, 30th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including zip code)</w:t>
      </w:r>
    </w:p>
    <w:p>
      <w:pPr>
        <w:sectPr>
          <w:pgSz w:w="11900" w:h="16838" w:orient="portrait"/>
          <w:cols w:equalWidth="0" w:num="1">
            <w:col w:w="11460"/>
          </w:cols>
          <w:pgMar w:left="240" w:top="233" w:right="199" w:bottom="0" w:gutter="0" w:footer="0" w:header="0"/>
          <w:type w:val="continuous"/>
        </w:sectPr>
      </w:pPr>
    </w:p>
    <w:p>
      <w:pPr>
        <w:spacing w:after="0" w:line="1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40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o Yes x No</w:t>
      </w:r>
    </w:p>
    <w:p>
      <w:pPr>
        <w:spacing w:after="0" w:line="100"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00"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0" w:gutter="0" w:footer="0" w:header="0"/>
          <w:type w:val="continuous"/>
        </w:sectPr>
      </w:pPr>
    </w:p>
    <w:p>
      <w:pPr>
        <w:spacing w:after="0" w:line="66"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500"/>
          </w:cols>
          <w:pgMar w:left="240" w:top="233"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83" w:lineRule="exact"/>
        <w:rPr>
          <w:sz w:val="24"/>
          <w:szCs w:val="24"/>
          <w:color w:val="auto"/>
        </w:rPr>
      </w:pPr>
    </w:p>
    <w:p>
      <w:pPr>
        <w:sectPr>
          <w:pgSz w:w="11900" w:h="16838" w:orient="portrait"/>
          <w:cols w:equalWidth="0" w:num="2">
            <w:col w:w="6860" w:space="720"/>
            <w:col w:w="3880"/>
          </w:cols>
          <w:pgMar w:left="240" w:top="233" w:right="199" w:bottom="0" w:gutter="0" w:footer="0" w:header="0"/>
          <w:type w:val="continuous"/>
        </w:sectPr>
      </w:pPr>
    </w:p>
    <w:p>
      <w:pPr>
        <w:ind w:left="340" w:right="1940"/>
        <w:spacing w:after="0" w:line="425"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Indicate the number of shares outstanding of each of the issuer’s classes of stock, as of the latest practicable date.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Class</w:t>
            </w: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at November 16, 2012</w:t>
            </w: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8"/>
        </w:trPr>
        <w:tc>
          <w:tcPr>
            <w:tcW w:w="98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400" w:type="dxa"/>
            <w:vAlign w:val="bottom"/>
          </w:tcPr>
          <w:p>
            <w:pPr>
              <w:spacing w:after="0"/>
              <w:rPr>
                <w:sz w:val="19"/>
                <w:szCs w:val="19"/>
                <w:color w:val="auto"/>
              </w:rPr>
            </w:pPr>
          </w:p>
        </w:tc>
        <w:tc>
          <w:tcPr>
            <w:tcW w:w="4460" w:type="dxa"/>
            <w:vAlign w:val="bottom"/>
            <w:tcBorders>
              <w:top w:val="single" w:sz="8" w:color="auto"/>
            </w:tcBorders>
          </w:tcPr>
          <w:p>
            <w:pPr>
              <w:jc w:val="right"/>
              <w:ind w:right="1739"/>
              <w:spacing w:after="0"/>
              <w:rPr>
                <w:sz w:val="20"/>
                <w:szCs w:val="20"/>
                <w:color w:val="auto"/>
              </w:rPr>
            </w:pPr>
            <w:r>
              <w:rPr>
                <w:rFonts w:ascii="Arial" w:cs="Arial" w:eastAsia="Arial" w:hAnsi="Arial"/>
                <w:sz w:val="18"/>
                <w:szCs w:val="18"/>
                <w:b w:val="1"/>
                <w:bCs w:val="1"/>
                <w:color w:val="auto"/>
              </w:rPr>
              <w:t>33,513,281</w:t>
            </w: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7"/>
        </w:trPr>
        <w:tc>
          <w:tcPr>
            <w:tcW w:w="98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2"/>
        </w:trPr>
        <w:tc>
          <w:tcPr>
            <w:tcW w:w="9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67"/>
        </w:trPr>
        <w:tc>
          <w:tcPr>
            <w:tcW w:w="980" w:type="dxa"/>
            <w:vAlign w:val="bottom"/>
            <w:tcBorders>
              <w:bottom w:val="single" w:sz="8" w:color="010101"/>
            </w:tcBorders>
          </w:tcPr>
          <w:p>
            <w:pPr>
              <w:spacing w:after="0"/>
              <w:rPr>
                <w:sz w:val="23"/>
                <w:szCs w:val="23"/>
                <w:color w:val="auto"/>
              </w:rPr>
            </w:pPr>
          </w:p>
        </w:tc>
        <w:tc>
          <w:tcPr>
            <w:tcW w:w="4260" w:type="dxa"/>
            <w:vAlign w:val="bottom"/>
            <w:tcBorders>
              <w:bottom w:val="single" w:sz="8" w:color="010101"/>
            </w:tcBorders>
          </w:tcPr>
          <w:p>
            <w:pPr>
              <w:spacing w:after="0"/>
              <w:rPr>
                <w:sz w:val="23"/>
                <w:szCs w:val="23"/>
                <w:color w:val="auto"/>
              </w:rPr>
            </w:pPr>
          </w:p>
        </w:tc>
        <w:tc>
          <w:tcPr>
            <w:tcW w:w="400" w:type="dxa"/>
            <w:vAlign w:val="bottom"/>
            <w:tcBorders>
              <w:bottom w:val="single" w:sz="8" w:color="010101"/>
            </w:tcBorders>
          </w:tcPr>
          <w:p>
            <w:pPr>
              <w:spacing w:after="0"/>
              <w:rPr>
                <w:sz w:val="23"/>
                <w:szCs w:val="23"/>
                <w:color w:val="auto"/>
              </w:rPr>
            </w:pPr>
          </w:p>
        </w:tc>
        <w:tc>
          <w:tcPr>
            <w:tcW w:w="4460" w:type="dxa"/>
            <w:vAlign w:val="bottom"/>
            <w:tcBorders>
              <w:bottom w:val="single" w:sz="8" w:color="010101"/>
            </w:tcBorders>
          </w:tcPr>
          <w:p>
            <w:pPr>
              <w:spacing w:after="0"/>
              <w:rPr>
                <w:sz w:val="23"/>
                <w:szCs w:val="23"/>
                <w:color w:val="auto"/>
              </w:rPr>
            </w:pPr>
          </w:p>
        </w:tc>
        <w:tc>
          <w:tcPr>
            <w:tcW w:w="1320" w:type="dxa"/>
            <w:vAlign w:val="bottom"/>
            <w:tcBorders>
              <w:bottom w:val="single" w:sz="8" w:color="010101"/>
            </w:tcBorders>
          </w:tcPr>
          <w:p>
            <w:pPr>
              <w:spacing w:after="0"/>
              <w:rPr>
                <w:sz w:val="23"/>
                <w:szCs w:val="23"/>
                <w:color w:val="auto"/>
              </w:rPr>
            </w:pPr>
          </w:p>
        </w:tc>
        <w:tc>
          <w:tcPr>
            <w:tcW w:w="40" w:type="dxa"/>
            <w:vAlign w:val="bottom"/>
            <w:tcBorders>
              <w:bottom w:val="single" w:sz="8" w:color="010101"/>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ectPr>
          <w:pgSz w:w="11900" w:h="16838" w:orient="portrait"/>
          <w:cols w:equalWidth="0" w:num="1">
            <w:col w:w="11460"/>
          </w:cols>
          <w:pgMar w:left="240" w:top="233"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66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900" w:type="dxa"/>
            <w:vAlign w:val="bottom"/>
            <w:tcBorders>
              <w:top w:val="single" w:sz="8" w:color="0000EE"/>
            </w:tcBorders>
            <w:gridSpan w:val="5"/>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160" w:type="dxa"/>
            <w:vAlign w:val="bottom"/>
            <w:tcBorders>
              <w:top w:val="single" w:sz="8" w:color="0000EE"/>
            </w:tcBorders>
            <w:gridSpan w:val="2"/>
          </w:tcPr>
          <w:p>
            <w:pPr>
              <w:spacing w:after="0"/>
              <w:rPr>
                <w:sz w:val="24"/>
                <w:szCs w:val="24"/>
                <w:color w:val="auto"/>
              </w:rPr>
            </w:pPr>
          </w:p>
        </w:tc>
        <w:tc>
          <w:tcPr>
            <w:tcW w:w="7580" w:type="dxa"/>
            <w:vAlign w:val="bottom"/>
            <w:gridSpan w:val="10"/>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2012 (unaudited) and December 31, 2011</w:t>
              </w:r>
            </w:hyperlink>
          </w:p>
        </w:tc>
        <w:tc>
          <w:tcPr>
            <w:tcW w:w="2640" w:type="dxa"/>
            <w:vAlign w:val="bottom"/>
            <w:gridSpan w:val="3"/>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Operations for the Three and Nine Months Ended September 30, 2012 and</w:t>
              </w:r>
            </w:hyperlink>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September 30, 2011</w:t>
              </w:r>
            </w:hyperlink>
          </w:p>
        </w:tc>
        <w:tc>
          <w:tcPr>
            <w:tcW w:w="6560" w:type="dxa"/>
            <w:vAlign w:val="bottom"/>
            <w:tcBorders>
              <w:top w:val="single" w:sz="8" w:color="0000EE"/>
            </w:tcBorders>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40" w:type="dxa"/>
            <w:vAlign w:val="bottom"/>
            <w:gridSpan w:val="18"/>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Cash Flows for the Nine Months Ended September 30, 2012 and September 30, 2011</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Consolidated Financial Statements</w:t>
              </w:r>
            </w:hyperlink>
          </w:p>
        </w:tc>
        <w:tc>
          <w:tcPr>
            <w:tcW w:w="5000" w:type="dxa"/>
            <w:vAlign w:val="bottom"/>
            <w:tcBorders>
              <w:top w:val="single" w:sz="8" w:color="0000EE"/>
            </w:tcBorders>
            <w:gridSpan w:val="6"/>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2.</w:t>
              </w:r>
            </w:hyperlink>
          </w:p>
        </w:tc>
        <w:tc>
          <w:tcPr>
            <w:tcW w:w="880" w:type="dxa"/>
            <w:vAlign w:val="bottom"/>
            <w:gridSpan w:val="4"/>
          </w:tcPr>
          <w:p>
            <w:pPr>
              <w:spacing w:after="0"/>
              <w:rPr>
                <w:sz w:val="17"/>
                <w:szCs w:val="17"/>
                <w:color w:val="auto"/>
              </w:rPr>
            </w:pP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880" w:type="dxa"/>
            <w:vAlign w:val="bottom"/>
            <w:gridSpan w:val="4"/>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4880" w:type="dxa"/>
            <w:vAlign w:val="bottom"/>
            <w:gridSpan w:val="5"/>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w:t>
            </w: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900" w:type="dxa"/>
            <w:vAlign w:val="bottom"/>
            <w:gridSpan w:val="5"/>
          </w:tcPr>
          <w:p>
            <w:pPr>
              <w:spacing w:after="0"/>
              <w:rPr>
                <w:sz w:val="17"/>
                <w:szCs w:val="17"/>
                <w:color w:val="auto"/>
              </w:rPr>
            </w:pPr>
          </w:p>
        </w:tc>
        <w:tc>
          <w:tcPr>
            <w:tcW w:w="924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60" w:type="dxa"/>
            <w:vAlign w:val="bottom"/>
            <w:gridSpan w:val="25"/>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1.</w:t>
              </w:r>
            </w:hyperlink>
          </w:p>
        </w:tc>
        <w:tc>
          <w:tcPr>
            <w:tcW w:w="880" w:type="dxa"/>
            <w:vAlign w:val="bottom"/>
            <w:tcBorders>
              <w:top w:val="single" w:sz="8" w:color="0000EE"/>
            </w:tcBorders>
            <w:gridSpan w:val="4"/>
          </w:tcPr>
          <w:p>
            <w:pPr>
              <w:spacing w:after="0"/>
              <w:rPr>
                <w:sz w:val="24"/>
                <w:szCs w:val="24"/>
                <w:color w:val="auto"/>
              </w:rPr>
            </w:pPr>
          </w:p>
        </w:tc>
        <w:tc>
          <w:tcPr>
            <w:tcW w:w="1360" w:type="dxa"/>
            <w:vAlign w:val="bottom"/>
            <w:tcBorders>
              <w:top w:val="single" w:sz="8" w:color="0000EE"/>
            </w:tcBorders>
            <w:gridSpan w:val="5"/>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Legal Proceedings</w:t>
              </w:r>
            </w:hyperlink>
          </w:p>
        </w:tc>
        <w:tc>
          <w:tcPr>
            <w:tcW w:w="7880" w:type="dxa"/>
            <w:vAlign w:val="bottom"/>
            <w:gridSpan w:val="13"/>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42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92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780" w:type="dxa"/>
            <w:vAlign w:val="bottom"/>
            <w:gridSpan w:val="3"/>
          </w:tcPr>
          <w:p>
            <w:pPr>
              <w:spacing w:after="0"/>
              <w:rPr>
                <w:sz w:val="17"/>
                <w:szCs w:val="17"/>
                <w:color w:val="auto"/>
              </w:rPr>
            </w:pPr>
          </w:p>
        </w:tc>
        <w:tc>
          <w:tcPr>
            <w:tcW w:w="924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880" w:type="dxa"/>
            <w:vAlign w:val="bottom"/>
            <w:gridSpan w:val="4"/>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60" w:type="dxa"/>
            <w:vAlign w:val="bottom"/>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360" w:type="dxa"/>
            <w:vAlign w:val="bottom"/>
            <w:gridSpan w:val="2"/>
          </w:tcPr>
          <w:p>
            <w:pPr>
              <w:spacing w:after="0"/>
              <w:rPr>
                <w:sz w:val="17"/>
                <w:szCs w:val="17"/>
                <w:color w:val="auto"/>
              </w:rPr>
            </w:pPr>
          </w:p>
        </w:tc>
        <w:tc>
          <w:tcPr>
            <w:tcW w:w="924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5.</w:t>
              </w:r>
            </w:hyperlink>
          </w:p>
        </w:tc>
        <w:tc>
          <w:tcPr>
            <w:tcW w:w="520" w:type="dxa"/>
            <w:vAlign w:val="bottom"/>
            <w:tcBorders>
              <w:top w:val="single" w:sz="8" w:color="0000EE"/>
            </w:tcBorders>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7480" w:type="dxa"/>
            <w:vAlign w:val="bottom"/>
            <w:gridSpan w:val="9"/>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880" w:type="dxa"/>
            <w:vAlign w:val="bottom"/>
            <w:gridSpan w:val="4"/>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7"/>
                <w:szCs w:val="17"/>
                <w:color w:val="auto"/>
              </w:rPr>
            </w:pPr>
          </w:p>
        </w:tc>
        <w:tc>
          <w:tcPr>
            <w:tcW w:w="7920" w:type="dxa"/>
            <w:vAlign w:val="bottom"/>
            <w:gridSpan w:val="14"/>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412"/>
        </w:trPr>
        <w:tc>
          <w:tcPr>
            <w:tcW w:w="36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Signature</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36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Exhibit Index</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453"/>
        </w:trPr>
        <w:tc>
          <w:tcPr>
            <w:tcW w:w="36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8"/>
                <w:szCs w:val="18"/>
                <w:color w:val="auto"/>
                <w:w w:val="99"/>
              </w:rPr>
              <w:t>Certifications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Shutterstock operated as a New York limited liability company as of September 30, 2012. In May 2012, in connection with the filing of a registration statement for the Company’s initial public offering, the Company formed Shutterstock, Inc., a Delaware corporation, as a wholly-owned subsidiary of the Company. On October 5, 2012, the Company reorganized by way of a merger of the LLC with and into Shutterstock, Inc., with Shutterstock, Inc. surviving in the merger.</w:t>
      </w:r>
    </w:p>
    <w:p>
      <w:pPr>
        <w:spacing w:after="0" w:line="18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 including, for the period prior to October 5, 2012, Shutterstock Images LLC.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720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Shutterstock Images LLC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200" w:type="dxa"/>
            <w:vAlign w:val="bottom"/>
          </w:tcPr>
          <w:p>
            <w:pPr>
              <w:jc w:val="center"/>
              <w:ind w:left="235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7200" w:type="dxa"/>
            <w:vAlign w:val="bottom"/>
          </w:tcPr>
          <w:p>
            <w:pPr>
              <w:jc w:val="center"/>
              <w:ind w:left="235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28,793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Credit card receivables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5,151</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Due from related party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5,402</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9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line="191" w:lineRule="exact"/>
              <w:rPr>
                <w:sz w:val="20"/>
                <w:szCs w:val="20"/>
                <w:color w:val="auto"/>
              </w:rPr>
            </w:pPr>
            <w:r>
              <w:rPr>
                <w:rFonts w:ascii="Arial" w:cs="Arial" w:eastAsia="Arial" w:hAnsi="Arial"/>
                <w:sz w:val="18"/>
                <w:szCs w:val="18"/>
                <w:b w:val="1"/>
                <w:bCs w:val="1"/>
                <w:color w:val="auto"/>
              </w:rPr>
              <w:t>LIABILITIES, REDEEMABLE PREFERRED MEMBERS’ INTEREST, MEMBERS’ DEFICIT AND</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13,728</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Contributor royalties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6,734</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36,214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28,451</w:t>
            </w: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Term loan facility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71,096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76,550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Redeemable preferred members’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27,675</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33,725</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Members’ deficit: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360"/>
              <w:spacing w:after="0"/>
              <w:rPr>
                <w:sz w:val="20"/>
                <w:szCs w:val="20"/>
                <w:color w:val="auto"/>
              </w:rPr>
            </w:pPr>
            <w:r>
              <w:rPr>
                <w:rFonts w:ascii="Arial" w:cs="Arial" w:eastAsia="Arial" w:hAnsi="Arial"/>
                <w:sz w:val="18"/>
                <w:szCs w:val="18"/>
                <w:color w:val="auto"/>
              </w:rPr>
              <w:t>Common members’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5,699</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(63,253)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(63,627)</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members’ deficit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(57,554)</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redeemable preferred members’ interest, and members’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46,671</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Images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42,260</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31,156</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120,459</w:t>
            </w:r>
          </w:p>
        </w:tc>
        <w:tc>
          <w:tcPr>
            <w:tcW w:w="6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16,208</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46,312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3,992</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33,369</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interest distributed</w:t>
            </w: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Preferred interest discount accretion</w:t>
            </w: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 earnings (loss) to participating members</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available to common members</w:t>
            </w:r>
          </w:p>
        </w:tc>
        <w:tc>
          <w:tcPr>
            <w:tcW w:w="4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Net income (loss) per basic share available to common</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members: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diluted share available to common</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members:</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0.87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20,849,242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20,849,242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20,849,242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20,849,242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20,849,242</w:t>
            </w: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20,849,242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20,849,242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20,849,242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Images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Nine Months Ended</w:t>
      </w:r>
    </w:p>
    <w:p>
      <w:pPr>
        <w:jc w:val="center"/>
        <w:ind w:left="81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18,523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1,888</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Non-cash equity-based compensation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2,827</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 reserve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card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and non-current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Due from (to) member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Contributors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1,473</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32,888</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(3,268)</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patents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Security deposit receipt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facility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Payment of term loan fee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deferred offering fees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Members’ distributions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14,696</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14,097</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equivalents—Ending</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paid for: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members’ interest accretion</w:t>
            </w:r>
          </w:p>
        </w:tc>
        <w:tc>
          <w:tcPr>
            <w:tcW w:w="1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40" w:right="239" w:bottom="12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25"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Images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Shutterstock Images LLC (the “Company” or “Shutterstock”) was organized as a New York limited liability company on January 16, 2007. The Company operates an industry-leading global marketplace for commercial digital imagery. Commercial digital imagery consists of licensed photographs, illustrations and videos that companies use in their visual communication, such as websites, digital and print marketing materials, corporate communications, books, publications and video content. The Company licenses commercial digital content to its customers. Contributors upload their digital content to the Company’s website in exchange for a royalty payment based on customer download activity. The Company maintains a primary office location in New York City.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interim consolidated balance sheet as of September 30, 2012 and the consolidated statements of operations and cash flows for the three and nine months ended September 30, 2012 and 2011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September 30, 2012 and its results of consolidated operations and cash flows for the nine months ended September 30, 2012 and 2011. The financial data and the other financial information disclosed in these notes to the financial statements related to these periods are also unaudited. The results of operations for the three and nine months ended September 30, 2012 are not necessarily indicative of the results to be expected for the year ending December 31, 2012 or for any other future annual or interim period.</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There have been no changes in the significant accounting policies from those that were disclosed in the audited Consolidated Financial Statements for the year ended December 31, 2011 included in the prospectus, dated October 10, 2012, filed pursuant to Rule 424(b) under the Securities Act of 1933, with the Securities and Exchange Commission. These financial statements should also be read in conjunction with those same audited Consolidated Financial Statements and Notes thereto for the year ended December 31, 2011. Certain information and note disclosures normally included in the financial statements prepared in accordance with GAAP have been omitted pursuant to such rules and regulations. The consolidated balance sheet as of December 31, 2011 included herein was derived from the audited financial statements as of that date, but does not include all disclosures required by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the Company formed Shutterstock, Inc., a Delaware corporation, as a wholly-owned subsidiary of the Company. On October 5, 2012, the Company reorganized, by way of a merger of the LLC with and into Shutterstock, Inc., with Shutterstock, Inc. surviving in the merger (the “Reorganization”). See Note 15, Subsequent Events, for further information. In the Reorganization, the membership interests in the LLC were exchanged for shares of common stock of Shutterstock, Inc. and the outstanding value appreciation rights of the LLC were exchanged for options to purchase shares of common stock of Shutterstock,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goodwill, intangibles, equity-based compensation, income tax provisions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revenue, net of refunds, is generated from the license of digital content through subscription or usage based plans. The Company’s four plans are: subscription plans, On Demand plans, Pay As You Go plans, which were introduced in July 2011, and credit pack plans. The Company recognizes revenue when the following four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September 30, 2012 and December 31, 2011, the Company has recorded a chargeback allowance of $70 and $70, respectively, which is</w:t>
      </w:r>
    </w:p>
    <w:p>
      <w:pPr>
        <w:sectPr>
          <w:pgSz w:w="11900" w:h="16838" w:orient="portrait"/>
          <w:cols w:equalWidth="0" w:num="1">
            <w:col w:w="11400"/>
          </w:cols>
          <w:pgMar w:left="240" w:top="125" w:right="259" w:bottom="0" w:gutter="0" w:footer="0" w:header="0"/>
        </w:sectPr>
      </w:pPr>
    </w:p>
    <w:bookmarkStart w:id="5" w:name="page6"/>
    <w:bookmarkEnd w:id="5"/>
    <w:p>
      <w:pPr>
        <w:ind w:right="100"/>
        <w:spacing w:after="0" w:line="277" w:lineRule="auto"/>
        <w:rPr>
          <w:sz w:val="20"/>
          <w:szCs w:val="20"/>
          <w:color w:val="auto"/>
        </w:rPr>
      </w:pPr>
      <w:r>
        <w:rPr>
          <w:rFonts w:ascii="Arial" w:cs="Arial" w:eastAsia="Arial" w:hAnsi="Arial"/>
          <w:sz w:val="18"/>
          <w:szCs w:val="18"/>
          <w:color w:val="auto"/>
        </w:rPr>
        <w:t>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images or video footage clips. On Demand revenues are recognized at the time the customer downloads the digital content on a per unit basis. Revenue related to unused digital content, if any, is recognized in full at the end of the plan term. Pay As You Go plans provide for individual image downloads. The Company recognizes revenue as the customer downloads images. Credit-pack plans are generally for a one-year term and enable the customer 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revenues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library to ensure it is of high quality before it may be purchased by our customers, can reject a contributor’s images in its sole discretion, and has credit risk.</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followed the authoritative guidance in ASC 605-45 </w:t>
      </w:r>
      <w:r>
        <w:rPr>
          <w:rFonts w:ascii="Arial" w:cs="Arial" w:eastAsia="Arial" w:hAnsi="Arial"/>
          <w:sz w:val="17"/>
          <w:szCs w:val="17"/>
          <w:i w:val="1"/>
          <w:iCs w:val="1"/>
          <w:color w:val="auto"/>
        </w:rPr>
        <w:t>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The Company recognizes revenue on a net basis in accordance with the type of plan sold, consistent with the plan descriptions above.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generally does not offer refunds or the right of return to resellers.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measures and recognizes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5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uses the Black-Scholes option-pricing model to determine the fair value of the Value Appreciation Rights Plan (“VAR Plan”) awards which is discussed further in Note 10, Valuation Appreciation Rights Plan. The determination of the grant date fair value of the VAR Plan awards using an option-pricing model requires judgment and is affected by the Company’s estimated fair value of its common ownership interests as well as assumptions regarding a number of other complex and subjective variables. These variables include the Company’s fair value of the common ownership interest, the expected unit price volatility over the expected term of the awards, awards’ exercise and cancellation behaviors, risk-free interest rates, and expected dividends, which are estimated as follows:</w:t>
      </w:r>
    </w:p>
    <w:p>
      <w:pPr>
        <w:spacing w:after="0" w:line="193" w:lineRule="exact"/>
        <w:rPr>
          <w:sz w:val="20"/>
          <w:szCs w:val="20"/>
          <w:color w:val="auto"/>
        </w:rPr>
      </w:pPr>
    </w:p>
    <w:p>
      <w:pPr>
        <w:ind w:left="980" w:right="20" w:hanging="324"/>
        <w:spacing w:after="0" w:line="289"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Membership Unit. </w:t>
      </w:r>
      <w:r>
        <w:rPr>
          <w:rFonts w:ascii="Arial" w:cs="Arial" w:eastAsia="Arial" w:hAnsi="Arial"/>
          <w:sz w:val="16"/>
          <w:szCs w:val="16"/>
          <w:color w:val="auto"/>
        </w:rPr>
        <w:t>The Company’s fair value of common ownership interest is estimated internally and approved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of Managers (“BOM”) because the Company is not publicly traded. The Company’s intention upon granting VAR Plan awards is for the granted award to have exercisable price per unit that is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 Business, Business Ownership Interest, Security, or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Asset</w:t>
      </w:r>
      <w:r>
        <w:rPr>
          <w:rFonts w:ascii="Arial" w:cs="Arial" w:eastAsia="Arial" w:hAnsi="Arial"/>
          <w:sz w:val="16"/>
          <w:szCs w:val="16"/>
          <w:color w:val="auto"/>
        </w:rPr>
        <w:t>. The assumptions used in the valuation model are based on future expectations combined with the Company’s judgment. In the absence of</w:t>
      </w:r>
      <w:r>
        <w:rPr>
          <w:rFonts w:ascii="Arial" w:cs="Arial" w:eastAsia="Arial" w:hAnsi="Arial"/>
          <w:sz w:val="16"/>
          <w:szCs w:val="16"/>
          <w:i w:val="1"/>
          <w:iCs w:val="1"/>
          <w:color w:val="auto"/>
        </w:rPr>
        <w:t xml:space="preserve"> </w:t>
      </w:r>
      <w:r>
        <w:rPr>
          <w:rFonts w:ascii="Arial" w:cs="Arial" w:eastAsia="Arial" w:hAnsi="Arial"/>
          <w:sz w:val="16"/>
          <w:szCs w:val="16"/>
          <w:color w:val="auto"/>
        </w:rPr>
        <w:t>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540"/>
        <w:spacing w:after="0" w:line="254" w:lineRule="auto"/>
        <w:rPr>
          <w:sz w:val="20"/>
          <w:szCs w:val="20"/>
          <w:color w:val="auto"/>
        </w:rPr>
      </w:pPr>
      <w:r>
        <w:rPr>
          <w:rFonts w:ascii="Arial" w:cs="Arial" w:eastAsia="Arial" w:hAnsi="Arial"/>
          <w:sz w:val="18"/>
          <w:szCs w:val="18"/>
          <w:color w:val="auto"/>
        </w:rPr>
        <w:t>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obtains independent third party valuations on a periodic basis.</w:t>
      </w:r>
    </w:p>
    <w:p>
      <w:pPr>
        <w:spacing w:after="0" w:line="2" w:lineRule="exact"/>
        <w:rPr>
          <w:sz w:val="20"/>
          <w:szCs w:val="20"/>
          <w:color w:val="auto"/>
        </w:rPr>
      </w:pPr>
    </w:p>
    <w:p>
      <w:pPr>
        <w:ind w:left="980" w:right="280" w:hanging="324"/>
        <w:spacing w:after="0" w:line="250"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was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w:t>
      </w:r>
    </w:p>
    <w:p>
      <w:pPr>
        <w:ind w:left="980" w:hanging="324"/>
        <w:spacing w:after="0" w:line="265"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As the Company does not have a trading history for its common ownership interest, the expected price volatility for the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interest was estimated by taking the average historic price volatility for industry peers based on daily price observations over a period equivalent to the expected term of the VAR Plan awards.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ownership interest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 w:lineRule="exact"/>
        <w:rPr>
          <w:rFonts w:ascii="Arial" w:cs="Arial" w:eastAsia="Arial" w:hAnsi="Arial"/>
          <w:sz w:val="17"/>
          <w:szCs w:val="17"/>
          <w:color w:val="auto"/>
        </w:rPr>
      </w:pPr>
    </w:p>
    <w:p>
      <w:pPr>
        <w:ind w:left="980" w:right="100" w:hanging="324"/>
        <w:spacing w:after="0" w:line="261"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VAR Plan awards for each award group.</w:t>
      </w:r>
    </w:p>
    <w:p>
      <w:pPr>
        <w:sectPr>
          <w:pgSz w:w="11900" w:h="16838" w:orient="portrait"/>
          <w:cols w:equalWidth="0" w:num="1">
            <w:col w:w="11420"/>
          </w:cols>
          <w:pgMar w:left="240" w:top="125" w:right="239" w:bottom="0" w:gutter="0" w:footer="0" w:header="0"/>
        </w:sectPr>
      </w:pPr>
    </w:p>
    <w:bookmarkStart w:id="6" w:name="page7"/>
    <w:bookmarkEnd w:id="6"/>
    <w:p>
      <w:pPr>
        <w:spacing w:after="0" w:line="46" w:lineRule="exact"/>
        <w:rPr>
          <w:sz w:val="20"/>
          <w:szCs w:val="20"/>
          <w:color w:val="auto"/>
        </w:rPr>
      </w:pPr>
    </w:p>
    <w:p>
      <w:pPr>
        <w:ind w:left="980" w:right="2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Company has historically paid cash dividends or distributions to its members. Once the Company completes the proposed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IPO, it does not intend to pay cash dividends or distributions in the foreseeable future. As a result, the Company used an expected dividend yield of zero.</w:t>
      </w:r>
    </w:p>
    <w:p>
      <w:pPr>
        <w:spacing w:after="0" w:line="181" w:lineRule="exact"/>
        <w:rPr>
          <w:sz w:val="20"/>
          <w:szCs w:val="20"/>
          <w:color w:val="auto"/>
        </w:rPr>
      </w:pPr>
    </w:p>
    <w:p>
      <w:pPr>
        <w:ind w:right="80" w:firstLine="702"/>
        <w:spacing w:after="0" w:line="255" w:lineRule="auto"/>
        <w:rPr>
          <w:sz w:val="20"/>
          <w:szCs w:val="20"/>
          <w:color w:val="auto"/>
        </w:rPr>
      </w:pPr>
      <w:r>
        <w:rPr>
          <w:rFonts w:ascii="Arial" w:cs="Arial" w:eastAsia="Arial" w:hAnsi="Arial"/>
          <w:sz w:val="18"/>
          <w:szCs w:val="18"/>
          <w:color w:val="auto"/>
        </w:rPr>
        <w:t>If any of the assumptions used in the Black-Scholes model changes significantly, the VAR Plan fair value for future awards may differ materially compared with the awards granted previously. The VAR Plan awards are subject to a time-based vesting requirement, with the majority vesting over four years, and a condition that a change of control occur for a payment to trigger with respect to the VAR Plan awards. As of September 30, 2012 and December 31, 2011, no equity-based compensation expense had been recognized because the qualifying events had not occurred. In the period in which the IPO is completed, the Company will begin recording share-based compensation expense using the accelerated attribution method, net of forfeitures, based on the grant date fair value of the VAR Plan awards. On October 16, 2012, the Company completed its IPO. See Note 15, Subsequent Events, for further information.</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For any equity-based awards that qualify for liability classification, the Company has elected to use the intrinsic value method to value the common membership interest in accordance with authoritative guidance on stock compensation. See Note 12, Common Member Ownership Subject to Put Feature, for further information.</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connection with the Company’s Reorganization, the Company’s membership interests were exchanged for shares of common stock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Shutterstock, Inc. and the Company’s outstanding VAR Plan awards were exchanged for options to purchase shares of common stock of Shutterstock,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15, Subsequent Events,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all periods presented, the Company filed its income tax returns as a limited liability company and is taxed as a partnership for federal and state income tax purposes. The Company recognized no federal and state income taxes, as the members of the LLC, and not the Company itself, are subject to income tax on their allocated share of the Company’s earnings. However, the Company was subject to taxation on allocable portions of its net income or other taxes based on various methodologies employed by the taxing authorities in certain localities. The Company generally made monthly distributions to its members under the terms of the LLC’s operating agreement, subject to the Company’s operating cash needs.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provisions are included in the income tax provision. Penalties and interest, if any, on uncertain tax positions are included in income tax expense. The Company currently has an unrecognized tax benefit of approximately $650 for uncertain tax positions related to tax positions taken in prior years, a portion of which relates to tax refund claims. To the extent these unrecognized tax benefits are ultimately recognized, the Company’s effective tax rate will be impacted in a future period.</w:t>
      </w:r>
    </w:p>
    <w:p>
      <w:pPr>
        <w:spacing w:after="0" w:line="16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is subject to requirements for non-income taxes, including payroll, value-added and sales-based taxes. Where appropriate, the Company has made accruals for these matters, which are reflected in the Company’s consolidated financial statements.</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reorganized from a limited liability company to a Delaware corporation on October 5, 2012. See Note 15, Subsequent Events, for further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Basic income per share is computed by dividing the net income attributable to common 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 shares, including those that are contingent and do not participate in dividends, are excluded from weighted average number of common shares outstanding. Undistributed net income (loss) for a given period is apportioned to participating members based on the weighted-average number of each class of securities outstanding during the applicable period as a percentage of the combined weighted-average number of these securities outstanding during the period. Income available to common members is computed by deducting dividends paid to preferred members, accretion to redemption value on preferred members shares, less income allocated to participating preferred securities. See Note 13, Permanent and Non-Permanent Members’ Equity, for further discussion.</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Diluted income per share is computed by dividing the net income available to common members adjusted for any changes in income that would result from the assumed conversion of the potential common shares by the weighted average common shares outstanding and all potential common shares, if they are 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consolidated statement of cash flows for the nine months ended September 30, 2012 reflects a reclassification for the payment of offering costs of approximately $1,200 during the six month period ended June 30, 2012 from cash provided by operating activities to cash used in financing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July 2012, the Financial Accounting Standards Board (“FASB”) issued a new accounting standard that simplifies the impairment test for indefinite-lived intangible assets other than goodwill. The new guidance gives the option to first assess qualitative factors to determine if it is more likely than not that the fair value of an indefinite-lived intangible asset is less than its carrying amount as a basis for determining whether it is necessary to perform a</w:t>
      </w:r>
    </w:p>
    <w:p>
      <w:pPr>
        <w:sectPr>
          <w:pgSz w:w="11900" w:h="16885" w:orient="portrait"/>
          <w:cols w:equalWidth="0" w:num="1">
            <w:col w:w="11420"/>
          </w:cols>
          <w:pgMar w:left="240" w:top="125" w:right="239" w:bottom="0" w:gutter="0" w:footer="0" w:header="0"/>
        </w:sectPr>
      </w:pPr>
    </w:p>
    <w:bookmarkStart w:id="7" w:name="page8"/>
    <w:bookmarkEnd w:id="7"/>
    <w:p>
      <w:pPr>
        <w:ind w:right="300"/>
        <w:spacing w:after="0" w:line="308" w:lineRule="auto"/>
        <w:rPr>
          <w:sz w:val="20"/>
          <w:szCs w:val="20"/>
          <w:color w:val="auto"/>
        </w:rPr>
      </w:pPr>
      <w:r>
        <w:rPr>
          <w:rFonts w:ascii="Arial" w:cs="Arial" w:eastAsia="Arial" w:hAnsi="Arial"/>
          <w:sz w:val="17"/>
          <w:szCs w:val="17"/>
          <w:color w:val="auto"/>
        </w:rPr>
        <w:t>quantitative valuation test. The new standard is effective for fiscal years, and interim periods within those fiscal years, beginning on or after September 15, 2012. The adoption of this guidance is not expected to have a material impact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About Revenue By Geographic Areas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geographic revenue based on customer location:</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15,211</w:t>
            </w:r>
          </w:p>
        </w:tc>
        <w:tc>
          <w:tcPr>
            <w:tcW w:w="6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42,841</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Europe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14,985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12,194</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44,553</w:t>
            </w:r>
          </w:p>
        </w:tc>
        <w:tc>
          <w:tcPr>
            <w:tcW w:w="5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33,065</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120,459</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85,543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Included in North America is the United States which comprises 31% and 30% of total revenue for three months ended September 30, 2012 and 2011 and 32% and 30% of total revenue for the nine months ended September 30, 2012 and 2011, respectively. No other country accounts for more than 10% of the Company’s revenue in any period. All long-lived assets are located in North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Company’s goodwill balance is attributable to its Bigstockphoto, Inc. (“Bigstock”) reporting unit and is tested for impairment at least annually on October 1 or upon a triggering event. There have been no changes in the carrying amount of goodwill through September 30, 2012.</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September 30, 2012 and December 31,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2012</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0"/>
                <w:szCs w:val="10"/>
                <w:color w:val="auto"/>
              </w:rPr>
            </w:pPr>
          </w:p>
        </w:tc>
        <w:tc>
          <w:tcPr>
            <w:tcW w:w="1120" w:type="dxa"/>
            <w:vAlign w:val="bottom"/>
          </w:tcPr>
          <w:p>
            <w:pPr>
              <w:jc w:val="center"/>
              <w:ind w:right="176"/>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2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Contributor content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Domain name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40" w:type="dxa"/>
            <w:vAlign w:val="bottom"/>
            <w:vMerge w:val="restart"/>
          </w:tcPr>
          <w:p>
            <w:pPr>
              <w:jc w:val="right"/>
              <w:ind w:right="73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0"/>
                <w:szCs w:val="10"/>
                <w:color w:val="auto"/>
              </w:rPr>
            </w:pPr>
          </w:p>
        </w:tc>
        <w:tc>
          <w:tcPr>
            <w:tcW w:w="1120" w:type="dxa"/>
            <w:vAlign w:val="bottom"/>
          </w:tcPr>
          <w:p>
            <w:pPr>
              <w:jc w:val="center"/>
              <w:ind w:right="176"/>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2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2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Contributor content</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Domain name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-1913890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-1913890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March 21, 2012, the Company acquired patents for $193, which will be amortized over sixteen to nineteen years. The patents were put into service in April 2012. Amortization expense was $63, $187, $61, and $183 for the three and nine months ended September 30, 2012 and 2011, respectively. The Company also determined that there was no indication of impairment for the intangible assets for all periods presented. Estimated amortization expense for the next five years is: $56 for the remaining three months of 2012, $188 in 2013, $74 in 2014, $74 in 2015, $74 in 2016 and $579 thereafter.</w:t>
      </w:r>
    </w:p>
    <w:p>
      <w:pPr>
        <w:spacing w:after="0" w:line="15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 xml:space="preserve">Based on a combination of factors that occurred in the second quarter of 2012 within the Company’s Bigstock reporting unit, primarily a change in financial projections and business strategy including the re-allocation of certain technology-related personnel to a different reporting unit and a shift in marketing strategy, management concluded that a triggering event had occurred indicating potential impairment in the Bigstock reporting unit, and accordingly performed a step 1 impairment test based on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estimated the fair value of the reporting unit using a discounted cash flow projection (also referred to as the income approach). The income approach uses a reporting unit’s projection of estimated future operating results and cash flows discounted to a net present value. The Company’s significant assumptions utilized in the income approach included estimated weighted-average cost of capital from a market participant point of view, projected revenues and operating expenditures which take into account expected operating margin efficiencies gained through cost reduction strategies, projected capital expenditures, and projected working capital changes. The projections are based on management’s best estimates of economic and market conditions over the projected period. The Company bases its fair value estimates on assumptions it believes to be reasonable, but which are unpredictable and inherently uncertain. Future changes to the projected financial information or other significant assumptions including the weighted-average cost of capital could have a negative result on the Bigstock reporting unit’s fair value. As a result of performing the step 1 test for goodwill impairment in the second quarter of 2012, management concluded that the fair value of the Bigstock reporting unit exceeded the carrying value. Therefore, there was no requirement to perform step 2 of the analysis and it was concluded that there is no impairment of goodwill for the Bigstock reporting unit. Long-lived assets held in the Bigstock reporting unit were also tested for recoverability and no impairment was identified.</w:t>
      </w:r>
    </w:p>
    <w:p>
      <w:pPr>
        <w:sectPr>
          <w:pgSz w:w="11900" w:h="16838" w:orient="portrait"/>
          <w:cols w:equalWidth="0" w:num="1">
            <w:col w:w="11460"/>
          </w:cols>
          <w:pgMar w:left="240" w:top="125" w:right="19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9,713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6,454</w:t>
            </w:r>
          </w:p>
        </w:tc>
        <w:tc>
          <w:tcPr>
            <w:tcW w:w="140" w:type="dxa"/>
            <w:vAlign w:val="bottom"/>
          </w:tcPr>
          <w:p>
            <w:pPr>
              <w:spacing w:after="0"/>
              <w:rPr>
                <w:sz w:val="18"/>
                <w:szCs w:val="18"/>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Properly and equipment, net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4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amounted to $665, $1,701, $349, and $665 for the three and nine months ended September 30,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is included in cost of revenue and general and administrative expense based on the nature of the asset.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Royalty tax withholdings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Non-income taxes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2,391</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8"/>
                <w:szCs w:val="18"/>
                <w:color w:val="auto"/>
              </w:rPr>
            </w:pP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Company’s effective tax rates for the three month periods ended September 30, 2012 and 2011 are 1.6% and 4.3% and for the nine month periods ended September 30, 2012 and 2011 are 2.0% and 4.3%, respectively. They differ from the statutory tax rate due primarily to timing differences related to non-cash based compensation and deferred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Facility</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The Company will use the net proceeds from the term loan facility for working capital and general business purposes. The term loan facility provides for a term loan of $12,000 and matures on the earlier of (i) September 21, 2013 and (ii) the date on which such facility is accelerated following the occurrence of an event of default. The term loan facility provides for interest on the term loan, at the Company’s option, at the prime rate as published in the Wall Street Journal minus 0.75%, or a LIBOR-based rate plus a margin of 2.00%. The Company selected the one-month LIBOR-based rate and can select a new interest rate option after the one-month rate expires on October 21, 2012. See Note 15, Subsequent Events, for further information.</w:t>
      </w:r>
    </w:p>
    <w:p>
      <w:pPr>
        <w:spacing w:after="0" w:line="18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term loan facility includes financial covenants of a minimum EBITDA determined quarterly, measured on a trailing 12 month basis and a minimum liquidity requirement. The term loan also includes customary negative and affirmative covenants including, among others, limitations on the Company’s ability to: (i) incur additional debt; (ii) create liens; (iii) make certain investments, loans and advances; (iv) sell assets; (v) pay dividends or make distributions or other restricted payments; (vi) engage in mergers or consolidations (other than the Reorganization); or (vii) change its business.</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Amounts under the term loan facility may become due upon certain events of default including, among others, failure to comply with the term loan facility’s covenants, bankruptcy, default on certain other indebtedness or a change in control. The default rate under the term loan facility is an additional 2.00% per annum over the otherwise applicable rate. All obligations under the term loan facility are secured by substantially all of the Company’s assets, other than its intellectual property.</w:t>
      </w:r>
    </w:p>
    <w:p>
      <w:pPr>
        <w:spacing w:after="0" w:line="18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At September 30, 2012, the Company was in compliance with the financial covenants and other covenants applicable to it under the term loan facility and the outstanding term loan facility balance was $12,000. At September 30, 2012, the Company recorded accrued interest in the amount of $5, which is included in accrued expenses at September 30, 2012.</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capitalizes costs directly associated with acquiring third party financing. Deferred financing costs are included in prepaid expenses and other current assets and are amortized on a straight-line basis as interest expense over the term of the related indebtedness. In cases where amounts borrowed are paid in advance, financing costs related to the amount borrowed are accelerated. As of September 30, 2012 and December 31, 2011, deferred financing costs, net of accumulated amortization were $159 and $0,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leases facilities under agreements accounted for as operating leases. Rental expense for operating leases for the three and nine months ended September 30, 2012 and 2011 was approximately $430, $850, $420, and $862, respectively. Some leases have defined escalating rent provisions, which</w:t>
      </w:r>
    </w:p>
    <w:p>
      <w:pPr>
        <w:sectPr>
          <w:pgSz w:w="11900" w:h="16838" w:orient="portrait"/>
          <w:cols w:equalWidth="0" w:num="1">
            <w:col w:w="11400"/>
          </w:cols>
          <w:pgMar w:left="240" w:top="337" w:right="259" w:bottom="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As a result of expanding server hosting facilities to accommodate increased business, the Company spent approximately $415, $2,505, $585 and $1,432 for servers and related hardware for the three and nine months ended September 30, 2012 and 2011, respectively, which is included in “Assets— Property and equipment, net” on the balance sheet. As of September 30, 2012 and December 31, 2011, the Company had committed to purchase approximately $0 and $900, respectively, in data server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September 30, 2012 and December 31, 2011, the Company had unconditional purchase obligations in the amount of $2,353 and $1,224, which consisted primarily of contracts related to infrastructure services and contractual commitments for marketing services. As of December 31, 2011, the Company’s unconditional purchase obligations for the years ending December 31, 2012 and 2013 are $852 and $372, respectively. As of September30, 2012, the Company’s unconditional purchase obligations for the remainder of 2012 and for year ending December 31, 2013 are $560 and $1,793,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active litigation matters.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liable for any damages, costs, or losses arising solely as a result of the modifications to Company content made by the customer. The standard maximum aggregate obligation and liability to any one customer for all claims is limited to $10. The Company offers certain of its customers greater levels of indemnification, including unlimited indemnification. As of September 30, 2012 and December 31, 2011,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has a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recorded employer matching contributions of $129 and $77 for the three months ended September 30, 2012 and 2011, respectively, and $398 and $211 for the nine months ended September 30,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Value Appreciation Rights Plan</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From June 7, 2007 through October 5, 2012, the Company was organized as a limited liability company. Beginning in 2011, the Company granted equity awards similar to options under its Value Appreciation Rights Plan (“VAR Plan”). Such VAR Plan awards have an exercise price, a vesting period and an expiration date, in addition to other terms similar to typical equity option grant terms. For the convenience of communicating the issuance of VAR Plan awards to employees, the BOM designated a total of 3,000,000 notional units for the VAR Plan to represent 10% of the Company’s overall interest. The VAR Plan awards are subject to a time-based vesting requirement and a condition that a change of control occur for a payment to trigger with respect to the VAR Plan awards. Payment can occur in the form of cash, units or other securities at the discretion of the BOM and will be equal to the appreciation in value over the participant’s grant date price. The determination of the type of payment is subject to the discretion of the Company and not the holder. Additionally, the Company has never settled any VAR units with cash. As a result, the VAR units are accounted for as equity awards. Given the change-of-control condition, there was no equity based compensation charge recorded for the three and nine months ended September 30, 2012 and 2011. In connection with the Reorganization, the VAR Plan awards were exchanged for options to purchase shares of common stock of Shutterstock, Inc. with only a time-based vesting requirement, which were granted pursuant to the Company’s 2012 Omnibus Equity Incentive Plan. See Note 15, Subsequent Events, for further information.</w:t>
      </w:r>
    </w:p>
    <w:p>
      <w:pPr>
        <w:sectPr>
          <w:pgSz w:w="11900" w:h="16838" w:orient="portrait"/>
          <w:cols w:equalWidth="0" w:num="1">
            <w:col w:w="11400"/>
          </w:cols>
          <w:pgMar w:left="240" w:top="125" w:right="259" w:bottom="0" w:gutter="0" w:footer="0" w:header="0"/>
        </w:sectPr>
      </w:pPr>
    </w:p>
    <w:bookmarkStart w:id="10" w:name="page11"/>
    <w:bookmarkEnd w:id="10"/>
    <w:p>
      <w:pPr>
        <w:spacing w:after="0" w:line="9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VAR Plan awards were made in the form of notional units. The following is a summary of the Company’s VAR Plan notional units and weighted average exercise price per notional unit: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VAR Plan</w:t>
            </w: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December 31, 2011</w:t>
            </w:r>
          </w:p>
        </w:tc>
        <w:tc>
          <w:tcPr>
            <w:tcW w:w="15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1,344,500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Units granted</w:t>
            </w:r>
          </w:p>
        </w:tc>
        <w:tc>
          <w:tcPr>
            <w:tcW w:w="3220" w:type="dxa"/>
            <w:vAlign w:val="bottom"/>
            <w:gridSpan w:val="3"/>
          </w:tcPr>
          <w:p>
            <w:pPr>
              <w:jc w:val="right"/>
              <w:ind w:right="280"/>
              <w:spacing w:after="0"/>
              <w:rPr>
                <w:sz w:val="20"/>
                <w:szCs w:val="20"/>
                <w:color w:val="auto"/>
              </w:rPr>
            </w:pPr>
            <w:r>
              <w:rPr>
                <w:rFonts w:ascii="Arial" w:cs="Arial" w:eastAsia="Arial" w:hAnsi="Arial"/>
                <w:sz w:val="18"/>
                <w:szCs w:val="18"/>
                <w:color w:val="auto"/>
              </w:rPr>
              <w:t>364,250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Units exercised</w:t>
            </w:r>
          </w:p>
        </w:tc>
        <w:tc>
          <w:tcPr>
            <w:tcW w:w="15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Units cancelled or forfeited</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(47,031)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Units outstanding at September 30, 2012</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80" w:type="dxa"/>
            <w:vAlign w:val="bottom"/>
            <w:vMerge w:val="restart"/>
          </w:tcPr>
          <w:p>
            <w:pPr>
              <w:jc w:val="right"/>
              <w:ind w:right="630"/>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2012 and December 31, 2011, no VAR Plan notional units were exercised or exercisable as no qualifying event had occurred.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total VAR Plan notional units outstanding at September 30, 2012 and December 31, 2011 and was approximately $7,560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$2,100, respectively. No VAR Plan notional units were expired as of September 30, 2012. The following is a status summary of the Company’s non-vested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 Plan notional units for the nine months ended September 30, 2012 and for the year ended December 31, 2011:</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6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VAR Plan</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December 31, 2011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5.48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Units 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364,250</w:t>
            </w:r>
          </w:p>
        </w:tc>
        <w:tc>
          <w:tcPr>
            <w:tcW w:w="22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Units vested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(273,600)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Units cancelled or 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(47,031)</w:t>
            </w:r>
          </w:p>
        </w:tc>
        <w:tc>
          <w:tcPr>
            <w:tcW w:w="22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30, 2012</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1,388,119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6.27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connection with the Reorganization, the VAR Plan awards were exchanged for options to purchase shares of common stock having the same time-based vesting schedules, which range from one to six years. See Note 15, Subsequent Events, for further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approximates the assumptions used in the fair value calculation for the three and nine months ended September 30, 2012:</w:t>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3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3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91"/>
              </w:rPr>
              <w:t>September 30,</w:t>
            </w:r>
          </w:p>
        </w:tc>
        <w:tc>
          <w:tcPr>
            <w:tcW w:w="3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660" w:type="dxa"/>
            <w:vAlign w:val="bottom"/>
          </w:tcPr>
          <w:p>
            <w:pPr>
              <w:spacing w:after="0"/>
              <w:rPr>
                <w:sz w:val="12"/>
                <w:szCs w:val="12"/>
                <w:color w:val="auto"/>
              </w:rPr>
            </w:pPr>
          </w:p>
        </w:tc>
        <w:tc>
          <w:tcPr>
            <w:tcW w:w="960" w:type="dxa"/>
            <w:vAlign w:val="bottom"/>
            <w:tcBorders>
              <w:top w:val="single" w:sz="8" w:color="auto"/>
            </w:tcBorders>
          </w:tcPr>
          <w:p>
            <w:pPr>
              <w:jc w:val="center"/>
              <w:ind w:left="316"/>
              <w:spacing w:after="0" w:line="142" w:lineRule="exact"/>
              <w:rPr>
                <w:sz w:val="20"/>
                <w:szCs w:val="20"/>
                <w:color w:val="auto"/>
              </w:rPr>
            </w:pPr>
            <w:r>
              <w:rPr>
                <w:rFonts w:ascii="Arial" w:cs="Arial" w:eastAsia="Arial" w:hAnsi="Arial"/>
                <w:sz w:val="14"/>
                <w:szCs w:val="14"/>
                <w:b w:val="1"/>
                <w:bCs w:val="1"/>
                <w:color w:val="auto"/>
                <w:w w:val="89"/>
              </w:rPr>
              <w:t>2012</w:t>
            </w:r>
          </w:p>
        </w:tc>
        <w:tc>
          <w:tcPr>
            <w:tcW w:w="2060" w:type="dxa"/>
            <w:vAlign w:val="bottom"/>
            <w:tcBorders>
              <w:top w:val="single" w:sz="8" w:color="auto"/>
            </w:tcBorders>
            <w:gridSpan w:val="3"/>
          </w:tcPr>
          <w:p>
            <w:pPr>
              <w:jc w:val="center"/>
              <w:ind w:left="622"/>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Borders>
              <w:top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87"/>
              </w:rPr>
              <w:t>6.3</w:t>
            </w: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6.0–6.7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5.2–6.3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Volatility</w:t>
            </w:r>
          </w:p>
        </w:tc>
        <w:tc>
          <w:tcPr>
            <w:tcW w:w="960" w:type="dxa"/>
            <w:vAlign w:val="bottom"/>
          </w:tcPr>
          <w:p>
            <w:pPr>
              <w:jc w:val="center"/>
              <w:ind w:left="316"/>
              <w:spacing w:after="0"/>
              <w:rPr>
                <w:sz w:val="20"/>
                <w:szCs w:val="20"/>
                <w:color w:val="auto"/>
              </w:rPr>
            </w:pPr>
            <w:r>
              <w:rPr>
                <w:rFonts w:ascii="Arial" w:cs="Arial" w:eastAsia="Arial" w:hAnsi="Arial"/>
                <w:sz w:val="18"/>
                <w:szCs w:val="18"/>
                <w:color w:val="auto"/>
                <w:w w:val="88"/>
              </w:rPr>
              <w:t>49%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46%–47%</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2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46%–47%</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2"/>
              </w:rPr>
              <w:t>1.6%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1.5%–3.0%</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1.1%–1.6%</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1.5%–2.4%</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tcPr>
          <w:p>
            <w:pPr>
              <w:jc w:val="center"/>
              <w:ind w:left="316"/>
              <w:spacing w:after="0"/>
              <w:rPr>
                <w:sz w:val="20"/>
                <w:szCs w:val="20"/>
                <w:color w:val="auto"/>
              </w:rPr>
            </w:pPr>
            <w:r>
              <w:rPr>
                <w:rFonts w:ascii="Arial" w:cs="Arial" w:eastAsia="Arial" w:hAnsi="Arial"/>
                <w:sz w:val="18"/>
                <w:szCs w:val="18"/>
                <w:color w:val="auto"/>
                <w:w w:val="92"/>
              </w:rPr>
              <w:t>0%</w:t>
            </w:r>
          </w:p>
        </w:tc>
        <w:tc>
          <w:tcPr>
            <w:tcW w:w="2060" w:type="dxa"/>
            <w:vAlign w:val="bottom"/>
            <w:gridSpan w:val="3"/>
          </w:tcPr>
          <w:p>
            <w:pPr>
              <w:jc w:val="center"/>
              <w:ind w:left="622"/>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unrecognized compensation charge at September 30, 2012 is approximately $9,850 of which $2,440 represents the unrecognized charge for vested shares at September 30, 2012. The unrecognized charge for vested shares will be recognized upon the Company’s Reorganization.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Reorganization was effective as of October 5, 2012. See Note 15, Subsequent Events,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Member Ownership Awards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November 1, 2007, the Company entered into a Profits Interest Grant and Repurchase Agreement (a “Profits Interest Agreement”) with an employee of the Company whereby the employee received a 0.4% membership interest in the Company in consideration of future services to be rendered over a forty-eight month period starting on January 1, 2008.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The award was determined to meet the characteristics of an equity based award and will be measured at fair value on the grant date. Based on the evaluation of the change of control condition, the Company has recorded no compensation charge to date for this award and will record a compensation charge based on fair value at the grant date when it is probable that the change of control condition will be achieved. The unrecognized compensation charge at September 30, 2012 and December 31, 2011 is $509.</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connection with the Reorganization, this membership interest in the LLC was exchanged for shares of common stock of Shutterstock, Inc., which do not contain a liquidation condition. See Note 15, Subsequent Events,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Member Ownership Subject to Put Feature</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August 17, 2010, the Company entered into a Profits Interest Agreement with an executive whereby the Company issued a membership interest in the Company in consideration of future services to be rendered. The Profits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The Profits Interest Agreement was effective as of April 5, 2010 and entitles the executive to an aggregate amount of 4% of any liquidation of the Company’s in excess of $300,000. The Profit Interest Grant vests over a six year period. The Profits Interest Agreement also contains a put feature whereby the executive has the option to put back to the Company up to 10% annually of any vested portion of the membership interest at the fair value on the date the executive would sell the vested interest back to the Company. Since the put feature does not subject the executive to the typical risks of stock ownership, the membership interest is classified as a liability and recorded utilizing the intrinsic method. The Company’s process for determining the fair value of the awards includes consideration of third party valuation reports and the fair value determined served as the basis for calculating the compensation charge. The Company recorded compensation charge of $670 and $599 for the three months ended September 30, 2012 and 2011, respectively, and $2,827 and $1,390 for the nine months ended September 30, 2012 and 2011, respectively, which is included in other non-current liabilities as of September 30, 2012 and December 31, 2011, respectively. This liability will be re-measured each future reporting period</w:t>
      </w:r>
    </w:p>
    <w:p>
      <w:pPr>
        <w:sectPr>
          <w:pgSz w:w="11900" w:h="16930" w:orient="portrait"/>
          <w:cols w:equalWidth="0" w:num="1">
            <w:col w:w="11460"/>
          </w:cols>
          <w:pgMar w:left="240" w:top="125" w:right="199" w:bottom="0" w:gutter="0" w:footer="0" w:header="0"/>
        </w:sectPr>
      </w:pPr>
    </w:p>
    <w:bookmarkStart w:id="11" w:name="page12"/>
    <w:bookmarkEnd w:id="11"/>
    <w:p>
      <w:pPr>
        <w:spacing w:after="0" w:line="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until a Liquidation occurs. Additionally, upon the occurrence of a Change in Control or Qualified Public Offering, as defined in the Company’s operating agreement, 50% of any unvested portion at that date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vest immediately, while the remaining portion will continue to vest over the remaining vesting period through April 5, 2016. The unrecognized compensation charge for the unvested portion of this membership interest at September 30, 2012 is $7,253, which reflects the current valuation of the award.</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the Reorganization, the vested portion of this membership interest in the LLC was exchanged for shares of common stock of Shutterstock, Inc. and the unvested portion of this membership interest was exchanged for shares of restricted stock, neither of which contains a liquidation condition. In addition, on October 10, 2012, the Company’s registration statement on Form S-1 (File No. 333-181376) for its IPO (the “Registration Statement”) was declared effective, which constituted a Qualified Public Offering as defined in the Company’s operating agreement. See Note 15, Subsequent Events,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Permanent and Non-Permanent Members’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Members’ Equity</w:t>
      </w:r>
    </w:p>
    <w:p>
      <w:pPr>
        <w:spacing w:after="0" w:line="225"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Permanent members’ equity consists of common membership interests. Only certain members have voting rights as designated in the Company’s Operating Agreement with respect to any action presented for a vote of the Company’s members and only certain members are entitled to profit interest distributions from the Company’s earnings. Common membership may not be transferred without prior consent from the Company’s BOM.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Members’ Equity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6, 2007, the Company’s then sole shareholder sold 25% of the common members’ equity to outside investors for an aggregate purchase price of $60 million. On February 28, 2008, the outside investors paid a purchase price adjustment in the amount of $1.8 million to the selling member as a result of the Company achieving an EBITDA Target as defined in the purchase agreement. The outside investors had the same rights and terms as common members’ equity holders except for a liquidation preference and a put preference. The put preference provides the outside investors with the option to redeem their investment for cash with proper notice to the Company on June 6, 2011 or thereafter. As of September 30, 2012 and December 31, 2011, the outside investors had not exercised this put preference.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has concluded that the preferred interest possesses characteristics and risks more similar to equity and has classified such instrument outside of permanent equity. Since the preferred members’ have the option to redeem their investment for cash with proper notice to the Company on June 6, 2011 or thereafter, the Company recorded the transaction outside of permanent equity. The purchase agreement also provides for the reduction of preferred interests for any distributions paid to the preferred holders. A summary of the Company’s preferred members’ interest account activity is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(6,050)</w:t>
            </w:r>
          </w:p>
        </w:tc>
      </w:tr>
      <w:tr>
        <w:trPr>
          <w:trHeight w:val="210"/>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Members</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accordance with the Company’s Amended and Restated Limited Liability Company Agreement, as amended, cash distributions to the members are based on their respective percentage interests to the extent cash is available as determined by the board. Distributions are also limited to the extent that liabilities, excluding any owed to the members, exceed fair market value of the Company’s assets. Upon a dissolution event of the Company, any assets will be distributed 1) to creditors, including members who are creditors, by payment or provision for payment of the debt and liabilities of the Company and the expenses of the liquidation; 2) to the setup of any reserves that are reasonably necessary for any contingent or unforeseen liabilities or obligations of the Company; 3) to the preferred members until they have received distributions which, when aggregated with all prior distributions made to them equal their liquidation preference; 4) to Pixel Holdings Inc. which is the Company’s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finally to the members in proportion to their percentage interests. During the nine months ended September 30, 2012, the Company made $24,200 in cash distributions to preferred and common members.</w:t>
      </w:r>
    </w:p>
    <w:p>
      <w:pPr>
        <w:spacing w:after="0" w:line="18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October 4, 2012, prior to the Reorganization, the Company made a final distribution in the amount of $11,800 to its members. See Note 15, Subsequent Events,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Parties</w:t>
      </w:r>
    </w:p>
    <w:p>
      <w:pPr>
        <w:spacing w:after="0" w:line="229"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From time to time, customers will send payment for purchased subscriptions to Pixel Holdings Inc., which is wholly owned by the Company’s majority interest holder. The Company recognizes revenue in accordance with its revenue recognition policy and collects the receivable from Pixel Holdings Inc. As of September 30, 2012 and December 31, 2011, uncollected payments were $0 and $168, respectively, and are included in due from member.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ectPr>
          <w:pgSz w:w="11900" w:h="16870" w:orient="portrait"/>
          <w:cols w:equalWidth="0" w:num="1">
            <w:col w:w="11420"/>
          </w:cols>
          <w:pgMar w:left="240" w:top="125" w:right="239" w:bottom="0" w:gutter="0" w:footer="0" w:header="0"/>
        </w:sectPr>
      </w:pPr>
    </w:p>
    <w:bookmarkStart w:id="12" w:name="page13"/>
    <w:bookmarkEnd w:id="12"/>
    <w:p>
      <w:pPr>
        <w:ind w:right="140" w:firstLine="648"/>
        <w:spacing w:after="0" w:line="257" w:lineRule="auto"/>
        <w:rPr>
          <w:sz w:val="20"/>
          <w:szCs w:val="20"/>
          <w:color w:val="auto"/>
        </w:rPr>
      </w:pPr>
      <w:r>
        <w:rPr>
          <w:rFonts w:ascii="Arial" w:cs="Arial" w:eastAsia="Arial" w:hAnsi="Arial"/>
          <w:sz w:val="18"/>
          <w:szCs w:val="18"/>
          <w:color w:val="auto"/>
        </w:rPr>
        <w:t>On October 5, 2012, the Company reorganized from Shutterstock Images LLC, a New York limited liability company, or the LLC, to Shutterstock, Inc., a Delaware corporation, by way of a merger of the LLC with and into Shutterstock, Inc., which prior to the Reorganization was a wholly-owned subsidiary of the LLC. In connection with this Reorganization, the preferred and common membership interests in the LLC, including any interests that vested upon the Reorganization, were exchanged for an aggregate of 28,338,281 shares of Shutterstock, Inc. common stock. On October 4, 2012, the LLC made a final distribution in the amount of $11,800 to its members.</w:t>
      </w:r>
    </w:p>
    <w:p>
      <w:pPr>
        <w:spacing w:after="0" w:line="18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As a result of the Reorganization, the Company calculated net income available to common members on a per share basis. The following table sets forth this computation for the three most recent year end periods that were presented in the Company’s registration statement on Form S-1 (File No. 333-181376) and the Company’s final prospectus filed pursuant to Rule 424(b) which did not include the following historical per share data:</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21,864</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18,938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Preferred interest distributions</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6,755</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interest discount accretion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Undistributed loss to participating member</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(3,659)</w:t>
            </w:r>
          </w:p>
        </w:tc>
        <w:tc>
          <w:tcPr>
            <w:tcW w:w="2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available to common members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20,849,242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20,770,041</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20,117,701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Dilution effect of contingently issuable shares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20,849,242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20,770,041</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20,117,701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per basic share available to common members: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diluted share available to common members: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VAR Plan awards that were granted and outstanding as of the Reorganization date were exchanged for options to purchase an aggregate of 1,661,719 shares of common stock of Shutterstock, Inc. The options were granted pursuant to the 2012 Omnibus Equity Incentive Plan and have substantially similar exercise prices and vesting terms as the exchanged VAR Plan awards. Unlike the VAR Plan awards, these stock option awards are not subject to a change of control condition. Accordingly, upon consummation of the Reorganization, the Company recognized a non-cash stock-based compensation expense of approximately $2,500, net of estimated forfeitures, in connection with a one-time acceleration charge as a result of the removal of the change of control condition, as discussed in Note 10.</w:t>
      </w:r>
    </w:p>
    <w:p>
      <w:pPr>
        <w:spacing w:after="0" w:line="19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As discussed in Note 12, pursuant to the Reorganization, the vested portion of the profits interest held by Thilo Semmelbauer, the Company’s President and Chief Operating Officer, was exchanged for shares of common stock of Shutterstock, Inc. and the unvested portion of Mr. Semmelbauer’s profits interest was exchanged for shares of restricted stock having the same vesting terms as the profits interest. Effective as of the Reorganization, the Company entered into a Restricted Stock Agreement with Mr. Semmelbauer governing the terms of his restricted stock. Pursuant to the terms of the Restricted Stock Agreement, 50% of the then-outstanding shares of restricted stock held by Mr. Semmelbauer vested and were released from the Company’s right to acquire such shares upon the effectiveness of the Company’s Registration Statement on October 10, 2012. The Company recognized a non-cash stock-based compensation expense of approximately $3,600 in connection with a one-time acceleration charge in connection with this accelerated vesting of 50% of the unvested portion of the restricted stock award based on the exchange date fair value, as discussed in Note 12.</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also recognized a non-cash stock-based compensation expense of approximately $509 upon consummation of the Reorganization in connection with a one-time acceleration charge in connection with the removal of the change of control condition from the Profits Interest Agreement entered with a Company employee, as discussed in Note 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16, 2012, the Company completed its IPO of 5,175,000 shares of common stock, including 675,000 shares sold as a result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underwriters’ exercise of their overallotment option, at a price of $17.00 per share. The IPO resulted in net proceeds to the Company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$81,817 after deducting underwriting discounts and commissions, and before deducting total estimated expenses in connection with the offering of $4,400.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dilutive effect of the Reorganization and completion of the IPO will be reflected in the Company’s net income on a per share basis in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total non-cash stock-based compensation expense the Company expects to recognize is approximately $7,500, $3,400, $3,200, $2,500, $785 and $200 during the fiscal years ending December 31, 2012, 2013, 2014, 2015, 2016 and thereafter, respectively. In future periods, the Company’s non-cash stock-based compensation expense is expected to increase as the Company issues additional stock awards to continue to attract and retain employees. See Notes 10, 11, and 12 for further discussion.</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October 10, 2012, the Company’s 2012 Omnibus Equity Incentive Plan (“2012 Stock Option Plan”) became effective. The 2012 Stock Option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w:t>
      </w:r>
    </w:p>
    <w:p>
      <w:pPr>
        <w:sectPr>
          <w:pgSz w:w="11900" w:h="16838" w:orient="portrait"/>
          <w:cols w:equalWidth="0" w:num="1">
            <w:col w:w="11400"/>
          </w:cols>
          <w:pgMar w:left="240" w:top="341" w:right="259" w:bottom="0" w:gutter="0" w:footer="0" w:header="0"/>
        </w:sectPr>
      </w:pPr>
    </w:p>
    <w:bookmarkStart w:id="13" w:name="page14"/>
    <w:bookmarkEnd w:id="13"/>
    <w:p>
      <w:pPr>
        <w:ind w:right="120"/>
        <w:spacing w:after="0" w:line="257" w:lineRule="auto"/>
        <w:rPr>
          <w:sz w:val="20"/>
          <w:szCs w:val="20"/>
          <w:color w:val="auto"/>
        </w:rPr>
      </w:pPr>
      <w:r>
        <w:rPr>
          <w:rFonts w:ascii="Arial" w:cs="Arial" w:eastAsia="Arial" w:hAnsi="Arial"/>
          <w:sz w:val="18"/>
          <w:szCs w:val="18"/>
          <w:color w:val="auto"/>
        </w:rPr>
        <w:t>shares that may be issued under the 2012 Stock Option Plan is 6,750,000 shares of common stock. The number of shares available for issuance under the 2012 Stock Option Plan will be increased annually commencing January 1, 2013 by an amount equal to the lesser of 1,500,000 shares of common stock, 3% of the outstanding shares of common stock as of the last day immediately preceding fiscal year, or such other amount as determined by the Company’s board of directors. Any awards issued under the 2012 Stock Option Plan that are forfeited by the participant, will become available for future grant under the 2012 Stock Option Plan.</w:t>
      </w:r>
    </w:p>
    <w:p>
      <w:pPr>
        <w:spacing w:after="0" w:line="18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October 10, 2012, the Company’s 2012 Employee Stock Purchase Plan (“2012 ESPP”) became effective. The 2012 ESPP provides participating employees with the option to purchase common stock through payroll deductions of up to 15% of eligible compensation and a maximum purchase of 1,000 shares during each offering period. The common stock is purchased at an 85% discounted rate at the lower price of the fair market value of common stock on the first trading day of the offering period or on the last day of the offering period. The offering periods generally start on the first trading day on or after June 1 and December 1 of each year; however, the first such offering period commenced on October 10, 2012, the date the Company’s Registration Statement was declared effective. An employee will not be granted rights to purchase common stock if an employee immediately after the grant would own stock possessing 5% or more of the total combined voting power or value of all classes of the Company’s capital stock or holds rights to purchase stock under all of the Company’s employee stock purchase plans that would accrue at a rate that exceeds $25 worth of stock for each calendar year. The Company has reserved 2,000,000 shares for issuance under the 2012 ESPP. The number of shares available for issuance under the 2012 ESPP provides for an annual increase commencing January 1, 2013 by an amount equal to the lesser of 1,000,000 shares of common stock, 3% of the outstanding shares of our common stock as of the last day immediately preceding fiscal year, or such other amount as determined by the Company’s board of directors.</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On October 21, 2012, the Company selected the one-month LIBOR-based rate in connection with the reset of its term loan facility. The newly selected interest rate expires on November 21, 2012 at which time the Company can select a new interest rate option.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October 29, 2012, the Company (in particular, its headquarters located in downtown Manhattan) was impacted by Hurricane Sandy. The storm caused widespread flooding and electricity outages throughout New York City and its surrounding areas. The Company’s websites remained fully operational during this time period, as the server infrastructure that operates these websites is located in secure redundant facilities in Massachusetts and Texas. The Company may file business interruption or other damage claims with its insurance providers to recover any potential lost revenues, additional costs or damages associated with the storm. At this time, the Company cannot estimate the range of losses or the amount or timing of any insurance proceeds that could potentially be received but does not believe it will have a material impact on its financial results. This event did not have an impact on the Company’s consolidated financial statements for the three and nine months ended September 30, 2012.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29" w:lineRule="exact"/>
        <w:rPr>
          <w:sz w:val="20"/>
          <w:szCs w:val="20"/>
          <w:color w:val="auto"/>
        </w:rPr>
      </w:pPr>
    </w:p>
    <w:p>
      <w:pPr>
        <w:jc w:val="both"/>
        <w:ind w:right="580" w:firstLine="648"/>
        <w:spacing w:after="0" w:line="312"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interim consolidated financial statements contained elsewhere in this quarterly report on Form 10-Q and in our other filings, including the audited consolidated financial statements included in our prospectus filed with the SEC pursuant to Rule 424(b) on October 11, 2012, relating to our initial public offering.</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or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global online marketplace brings together users of commercial digital imagery with image creators from around the world. More than 550,000 active, paying users contributed to revenue in 2011, representing an increase of 71% compared to the prior year.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More than 35,000 approved contributors make their images available in our library, which has grown to more than 21 million images. This makes our library one of the largest of its kind and, in the twelve months ended December 31, 2011, we delivered more than 58 million paid downloads (including both commercial and editorial images) to our customers. We believe that we delivered the highest volume of commercial image downloads in this period of any single brand in our industry.</w:t>
      </w:r>
    </w:p>
    <w:p>
      <w:pPr>
        <w:spacing w:after="0" w:line="17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2003, we launched the initial version of our website and became one of the first companies in our industry to offer a simple subscription-based payment model. Since then, we have continually enhanced our platform, achieving key product development and business milestones that have driven our revenue and traffic growth:</w:t>
      </w:r>
    </w:p>
    <w:p>
      <w:pPr>
        <w:spacing w:after="0" w:line="181" w:lineRule="exact"/>
        <w:rPr>
          <w:sz w:val="20"/>
          <w:szCs w:val="20"/>
          <w:color w:val="auto"/>
        </w:rPr>
      </w:pPr>
    </w:p>
    <w:p>
      <w:pPr>
        <w:ind w:left="700" w:right="100" w:hanging="332"/>
        <w:spacing w:after="0" w:line="277"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November 2005, we launched our first foreign language website, in Japanese. We currently make our website available in a total of ten languages and transact in eight currencies on shutterstock.com, including U.S. Dollars, Euros, British Pounds and Yen.</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2006, we began offering video footage in addition to our collection of still images.</w:t>
      </w:r>
    </w:p>
    <w:p>
      <w:pPr>
        <w:spacing w:after="0" w:line="225" w:lineRule="exact"/>
        <w:rPr>
          <w:rFonts w:ascii="Arial" w:cs="Arial" w:eastAsia="Arial" w:hAnsi="Arial"/>
          <w:sz w:val="18"/>
          <w:szCs w:val="18"/>
          <w:color w:val="auto"/>
        </w:rPr>
      </w:pPr>
    </w:p>
    <w:p>
      <w:pPr>
        <w:ind w:left="700" w:right="200" w:hanging="332"/>
        <w:spacing w:after="0" w:line="277"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June 2007, we launched </w:t>
      </w:r>
      <w:r>
        <w:rPr>
          <w:rFonts w:ascii="Arial" w:cs="Arial" w:eastAsia="Arial" w:hAnsi="Arial"/>
          <w:sz w:val="18"/>
          <w:szCs w:val="18"/>
          <w:i w:val="1"/>
          <w:iCs w:val="1"/>
          <w:color w:val="auto"/>
        </w:rPr>
        <w:t>Shutterstock On The Red Carpet</w:t>
      </w:r>
      <w:r>
        <w:rPr>
          <w:rFonts w:ascii="Arial" w:cs="Arial" w:eastAsia="Arial" w:hAnsi="Arial"/>
          <w:sz w:val="18"/>
          <w:szCs w:val="18"/>
          <w:color w:val="auto"/>
        </w:rPr>
        <w:t xml:space="preserve"> , a program that facilitates the acquisition of press passes for Shutterstock contributors so that they can photograph newsworthy events.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2008, we launched an On Demand purchase option to better meet the needs of lower-volume image users.</w:t>
      </w:r>
    </w:p>
    <w:p>
      <w:pPr>
        <w:sectPr>
          <w:pgSz w:w="11900" w:h="16838" w:orient="portrait"/>
          <w:cols w:equalWidth="0" w:num="1">
            <w:col w:w="11420"/>
          </w:cols>
          <w:pgMar w:left="240" w:top="125" w:right="239" w:bottom="0" w:gutter="0" w:footer="0" w:header="0"/>
        </w:sectPr>
      </w:pPr>
    </w:p>
    <w:bookmarkStart w:id="14" w:name="page15"/>
    <w:bookmarkEnd w:id="14"/>
    <w:p>
      <w:pPr>
        <w:spacing w:after="0" w:line="46" w:lineRule="exact"/>
        <w:rPr>
          <w:sz w:val="20"/>
          <w:szCs w:val="20"/>
          <w:color w:val="auto"/>
        </w:rPr>
      </w:pPr>
    </w:p>
    <w:p>
      <w:pPr>
        <w:ind w:left="700" w:right="120" w:hanging="332"/>
        <w:spacing w:after="0" w:line="286" w:lineRule="auto"/>
        <w:tabs>
          <w:tab w:leader="none" w:pos="66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65" w:lineRule="exact"/>
        <w:rPr>
          <w:rFonts w:ascii="Arial" w:cs="Arial" w:eastAsia="Arial" w:hAnsi="Arial"/>
          <w:sz w:val="17"/>
          <w:szCs w:val="17"/>
          <w:color w:val="auto"/>
        </w:rPr>
      </w:pPr>
    </w:p>
    <w:p>
      <w:pPr>
        <w:ind w:left="700" w:right="20" w:hanging="332"/>
        <w:spacing w:after="0" w:line="312" w:lineRule="auto"/>
        <w:tabs>
          <w:tab w:leader="none" w:pos="66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 marketplace. We subsequently began offering larger indemnification amounts or unlimited indemnification to certain of our customers.</w:t>
      </w:r>
    </w:p>
    <w:p>
      <w:pPr>
        <w:spacing w:after="0" w:line="146" w:lineRule="exact"/>
        <w:rPr>
          <w:rFonts w:ascii="Arial" w:cs="Arial" w:eastAsia="Arial" w:hAnsi="Arial"/>
          <w:sz w:val="16"/>
          <w:szCs w:val="16"/>
          <w:color w:val="auto"/>
        </w:rPr>
      </w:pPr>
    </w:p>
    <w:p>
      <w:pPr>
        <w:ind w:left="660" w:hanging="29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November 2011, we launched </w:t>
      </w:r>
      <w:r>
        <w:rPr>
          <w:rFonts w:ascii="Arial" w:cs="Arial" w:eastAsia="Arial" w:hAnsi="Arial"/>
          <w:sz w:val="17"/>
          <w:szCs w:val="17"/>
          <w:i w:val="1"/>
          <w:iCs w:val="1"/>
          <w:color w:val="auto"/>
        </w:rPr>
        <w:t>Shutterstock for iPad</w:t>
      </w:r>
      <w:r>
        <w:rPr>
          <w:rFonts w:ascii="Arial" w:cs="Arial" w:eastAsia="Arial" w:hAnsi="Arial"/>
          <w:sz w:val="17"/>
          <w:szCs w:val="17"/>
          <w:color w:val="auto"/>
        </w:rPr>
        <w:t xml:space="preserve"> , an application enabling visitors to search, browse and organize images using an iPad.</w:t>
      </w:r>
    </w:p>
    <w:p>
      <w:pPr>
        <w:spacing w:after="0" w:line="236" w:lineRule="exact"/>
        <w:rPr>
          <w:rFonts w:ascii="Arial" w:cs="Arial" w:eastAsia="Arial" w:hAnsi="Arial"/>
          <w:sz w:val="17"/>
          <w:szCs w:val="17"/>
          <w:color w:val="auto"/>
        </w:rPr>
      </w:pPr>
    </w:p>
    <w:p>
      <w:pPr>
        <w:ind w:left="660" w:hanging="29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November 2012, we launched </w:t>
      </w:r>
      <w:r>
        <w:rPr>
          <w:rFonts w:ascii="Arial" w:cs="Arial" w:eastAsia="Arial" w:hAnsi="Arial"/>
          <w:sz w:val="16"/>
          <w:szCs w:val="16"/>
          <w:i w:val="1"/>
          <w:iCs w:val="1"/>
          <w:color w:val="auto"/>
        </w:rPr>
        <w:t>Shutterstock for iPhone</w:t>
      </w:r>
      <w:r>
        <w:rPr>
          <w:rFonts w:ascii="Arial" w:cs="Arial" w:eastAsia="Arial" w:hAnsi="Arial"/>
          <w:sz w:val="16"/>
          <w:szCs w:val="16"/>
          <w:color w:val="auto"/>
        </w:rPr>
        <w:t>, an application enabling visitors to search, browse and organize images using an iPhone.</w:t>
      </w:r>
    </w:p>
    <w:p>
      <w:pPr>
        <w:spacing w:after="0" w:line="24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As an online marketplace, we generate revenue by selling image licenses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81"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4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in such a way that contributors earn more per download from plans where we collect higher revenue per download. In other words, we strive to deliver a similar percentage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65"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5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number of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library is another key driver of our growth. The number of approved and licensable images in the Shutterstock library is currently over 21 million images to date, making it one of the largest libraries of its kind.</w:t>
      </w:r>
    </w:p>
    <w:p>
      <w:pPr>
        <w:spacing w:after="0" w:line="16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From September 7, 2007 through October 5, 2012, we operated as a New York limited liability company (the “LLC”). In May 2012, in connection with the filing of a registration statement for our initial public offering (the “IPO”), we formed Shutterstock, Inc., a Delaware corporation, as a wholly-owned subsidiary of the LLC. On October 5, 2012, the Company reorganized by way of a merger of the LLC with and into Shutterstock, Inc., with Shutterstock, Inc. surviving in the merger (the “Reorganization”).</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Subsequent to the close of our third quarter on September 30, 2012, on October 16, 2012, we completed our IPO of 5,175,000 shares, including 675,000 shares sold as a result of the underwriters’ exercise of their overallotment option, at a price of $17.00 per share. The IPO resulted in net proceeds to the Company of approximately $81.8 million after deducting underwriting discounts and commissions, and before deducting total estimated expenses in connection with the offering of $4.4 million.</w:t>
      </w:r>
    </w:p>
    <w:p>
      <w:pPr>
        <w:spacing w:after="0" w:line="187"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Additionally, upon consummation of the Reorganization, we recognized the following one-time acceleration charges for non-cash stock-based compensation:</w:t>
      </w:r>
    </w:p>
    <w:p>
      <w:pPr>
        <w:spacing w:after="0" w:line="170" w:lineRule="exact"/>
        <w:rPr>
          <w:sz w:val="20"/>
          <w:szCs w:val="20"/>
          <w:color w:val="auto"/>
        </w:rPr>
      </w:pPr>
    </w:p>
    <w:p>
      <w:pPr>
        <w:ind w:left="700" w:right="40" w:hanging="332"/>
        <w:spacing w:after="0" w:line="258" w:lineRule="auto"/>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charge of approximately $2.5 million, net of estimated forfeitures, in connection with a the removal of the change of control condition for our VAR Plan awards and exchanging them for stock options; and</w:t>
      </w:r>
    </w:p>
    <w:p>
      <w:pPr>
        <w:spacing w:after="0" w:line="1" w:lineRule="exact"/>
        <w:rPr>
          <w:rFonts w:ascii="Arial" w:cs="Arial" w:eastAsia="Arial" w:hAnsi="Arial"/>
          <w:sz w:val="18"/>
          <w:szCs w:val="18"/>
          <w:color w:val="auto"/>
        </w:rPr>
      </w:pPr>
    </w:p>
    <w:p>
      <w:pPr>
        <w:ind w:left="700" w:right="580" w:hanging="332"/>
        <w:spacing w:after="0" w:line="261" w:lineRule="auto"/>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charge of approximately $0.5 million in connection with the removal of the change of control condition from the Profits Interest Agreement entered into with a Company employee.</w:t>
      </w:r>
    </w:p>
    <w:p>
      <w:pPr>
        <w:spacing w:after="0" w:line="184"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Upon the effectiveness of the our registration statement on Form S-1 (File No. 333-181376) for our IPO on October 10, 2012, we incurred a one-time acceleration for non-cash equity-based compensation of approximately $3.6 million in connection with the accelerated vesting of 50% of the unvested portion of the profits interest award granted to an executive officer and related issuance of shares of common stock based on the exchange date fair value.</w:t>
      </w:r>
    </w:p>
    <w:p>
      <w:pPr>
        <w:spacing w:after="0" w:line="147"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On October 29, 2012, we (in particular, our headquarters located in downtown Manhattan) were impacted by Hurricane Sandy. The storm caused widespread flooding and electricity outages throughout New York City and its surrounding areas. Our websites remained fully operational during this time period, as the server infrastructure that operates these websites is located in secure redundant facilities in Massachusetts and Texas. We may file business</w:t>
      </w:r>
    </w:p>
    <w:p>
      <w:pPr>
        <w:sectPr>
          <w:pgSz w:w="11900" w:h="16885" w:orient="portrait"/>
          <w:cols w:equalWidth="0" w:num="1">
            <w:col w:w="11420"/>
          </w:cols>
          <w:pgMar w:left="240" w:top="125" w:right="239" w:bottom="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interruption or other damage claims with our insurance providers to recover any potential lost revenues, additional costs or damages associated with the storm. At this time, we cannot estimate the range of losses or the amount or timing of any insurance proceeds that could potentially be received but we do not believe it will have a material impact on our financial results. This event did not have an impact on our consolidated financial statements for the three and nine months ended September 30, 2012.</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40" w:firstLine="414"/>
        <w:spacing w:after="0" w:line="312" w:lineRule="auto"/>
        <w:rPr>
          <w:sz w:val="20"/>
          <w:szCs w:val="20"/>
          <w:color w:val="auto"/>
        </w:rPr>
      </w:pPr>
      <w:r>
        <w:rPr>
          <w:rFonts w:ascii="Arial" w:cs="Arial" w:eastAsia="Arial" w:hAnsi="Arial"/>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and nine months ended September 30, 2012 and 2011:</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540"/>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ind w:left="580"/>
              <w:spacing w:after="0"/>
              <w:rPr>
                <w:sz w:val="20"/>
                <w:szCs w:val="20"/>
                <w:color w:val="auto"/>
              </w:rPr>
            </w:pPr>
            <w:r>
              <w:rPr>
                <w:rFonts w:ascii="Arial" w:cs="Arial" w:eastAsia="Arial" w:hAnsi="Arial"/>
                <w:sz w:val="14"/>
                <w:szCs w:val="14"/>
                <w:b w:val="1"/>
                <w:bCs w:val="1"/>
                <w:color w:val="auto"/>
                <w:w w:val="96"/>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w w:val="83"/>
              </w:rPr>
              <w:t>2011</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0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rPr>
              <w:t>(in millions, except revenue per download)</w:t>
            </w: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18.7</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54.7</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740"/>
              <w:spacing w:after="0"/>
              <w:rPr>
                <w:sz w:val="20"/>
                <w:szCs w:val="20"/>
                <w:color w:val="auto"/>
              </w:rPr>
            </w:pPr>
            <w:r>
              <w:rPr>
                <w:rFonts w:ascii="Arial" w:cs="Arial" w:eastAsia="Arial" w:hAnsi="Arial"/>
                <w:sz w:val="18"/>
                <w:szCs w:val="18"/>
                <w:color w:val="auto"/>
              </w:rPr>
              <w:t>2.26</w:t>
            </w:r>
          </w:p>
        </w:tc>
        <w:tc>
          <w:tcPr>
            <w:tcW w:w="680" w:type="dxa"/>
            <w:vAlign w:val="bottom"/>
          </w:tcPr>
          <w:p>
            <w:pPr>
              <w:jc w:val="right"/>
              <w:ind w:right="35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740"/>
              <w:spacing w:after="0"/>
              <w:rPr>
                <w:sz w:val="20"/>
                <w:szCs w:val="20"/>
                <w:color w:val="auto"/>
              </w:rPr>
            </w:pPr>
            <w:r>
              <w:rPr>
                <w:rFonts w:ascii="Arial" w:cs="Arial" w:eastAsia="Arial" w:hAnsi="Arial"/>
                <w:sz w:val="18"/>
                <w:szCs w:val="18"/>
                <w:color w:val="auto"/>
              </w:rPr>
              <w:t>2.20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Images in our library (end of period)</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21.7</w:t>
            </w:r>
          </w:p>
        </w:tc>
        <w:tc>
          <w:tcPr>
            <w:tcW w:w="6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21.7</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fiscal years, revenue from each of our purchase options has grown, however our fastest growing purchase options have been those that generate more revenue per download, most notably our On Demand purchase options. Due to this change in product mix, our revenue per download has increased steadily over the last three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our Library</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define images in our library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414"/>
        <w:spacing w:after="0" w:line="268" w:lineRule="auto"/>
        <w:rPr>
          <w:sz w:val="20"/>
          <w:szCs w:val="20"/>
          <w:color w:val="auto"/>
        </w:rPr>
      </w:pPr>
      <w:r>
        <w:rPr>
          <w:rFonts w:ascii="Arial" w:cs="Arial" w:eastAsia="Arial" w:hAnsi="Arial"/>
          <w:sz w:val="17"/>
          <w:szCs w:val="17"/>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88" w:lineRule="exact"/>
        <w:rPr>
          <w:sz w:val="20"/>
          <w:szCs w:val="20"/>
          <w:color w:val="auto"/>
        </w:rPr>
      </w:pPr>
    </w:p>
    <w:p>
      <w:pPr>
        <w:ind w:firstLine="414"/>
        <w:spacing w:after="0" w:line="264" w:lineRule="auto"/>
        <w:rPr>
          <w:sz w:val="20"/>
          <w:szCs w:val="20"/>
          <w:color w:val="auto"/>
        </w:rPr>
      </w:pPr>
      <w:r>
        <w:rPr>
          <w:rFonts w:ascii="Arial" w:cs="Arial" w:eastAsia="Arial" w:hAnsi="Arial"/>
          <w:sz w:val="18"/>
          <w:szCs w:val="18"/>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Costs and Expenses</w:t>
      </w:r>
    </w:p>
    <w:p>
      <w:pPr>
        <w:sectPr>
          <w:pgSz w:w="11900" w:h="16838" w:orient="portrait"/>
          <w:cols w:equalWidth="0" w:num="1">
            <w:col w:w="11400"/>
          </w:cols>
          <w:pgMar w:left="240" w:top="125" w:right="259" w:bottom="0" w:gutter="0" w:footer="0" w:header="0"/>
          <w:type w:val="continuous"/>
        </w:sectPr>
      </w:pPr>
    </w:p>
    <w:bookmarkStart w:id="16" w:name="page17"/>
    <w:bookmarkEnd w:id="16"/>
    <w:p>
      <w:pPr>
        <w:spacing w:after="0" w:line="46" w:lineRule="exact"/>
        <w:rPr>
          <w:sz w:val="20"/>
          <w:szCs w:val="20"/>
          <w:color w:val="auto"/>
        </w:rPr>
      </w:pPr>
    </w:p>
    <w:p>
      <w:pPr>
        <w:ind w:right="100" w:firstLine="414"/>
        <w:spacing w:after="0" w:line="286"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royalties paid to contributors, credit card processing fees, image and video review costs, customer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the infrastructure costs related to maintaining our websites and associated employee compensation, facility costs and other supporting overhead costs. We expect that our cost of revenue will increase in absolute dollars in the foreseeable future as our revenue grows.</w:t>
      </w:r>
    </w:p>
    <w:p>
      <w:pPr>
        <w:spacing w:after="0" w:line="166" w:lineRule="exact"/>
        <w:rPr>
          <w:sz w:val="20"/>
          <w:szCs w:val="20"/>
          <w:color w:val="auto"/>
        </w:rPr>
      </w:pPr>
    </w:p>
    <w:p>
      <w:pPr>
        <w:ind w:right="60" w:firstLine="414"/>
        <w:spacing w:after="0" w:line="31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include third-party marketing, advertising, branding, public relations and sales expenses.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also include associated employee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47" w:lineRule="exact"/>
        <w:rPr>
          <w:sz w:val="20"/>
          <w:szCs w:val="20"/>
          <w:color w:val="auto"/>
        </w:rPr>
      </w:pPr>
    </w:p>
    <w:p>
      <w:pPr>
        <w:ind w:right="140" w:firstLine="414"/>
        <w:spacing w:after="0" w:line="297"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consist of headcount expenses, including salaries, benefits and bonuses for salaried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and contractors engaged in product management, design, development and testing of our websites and products. Research and development costs also include facility and other supporting overhead costs except for costs that are capitalized for software development projects that have demonstrated technological feasibility. We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58"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and benefits for executive, finance,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legal, human resources, internal information technology and other administrative personnel. In addition, general and administrative expenses include non-cash stock compensation expense, outside legal and accounting services, facilities costs and other supporting overhead costs. We expect to incur incremental general and administrative expenses to support our growth and to support operating as a public company.</w:t>
      </w:r>
    </w:p>
    <w:p>
      <w:pPr>
        <w:spacing w:after="0" w:line="154"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Historically, we filed our income tax return as a New York limited liability company, for federal and state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As a limited liability company, we recognized no federal and state income taxes, as the members of the LLC, and not the entity itself, are subject to income tax on their allocated share of our earnings. Historically, we generally made monthly distributions to our members under the terms of the LLC’s operating agreement, and subject to our operating cash needs. As a result of our reorganization on October 5, 2012 from a limited liability company to a Delaware corporation, which occurred prior to the completion of our IPO, our corporate income tax rate increased significantly as we became subject to federal, state and additional city income tax. See Note 15 to our Unaudited Consolidated Financial Statements included in Part I, Item 1 of this Quarterly Report on Form 10-Q for additional information.</w:t>
      </w:r>
    </w:p>
    <w:p>
      <w:pPr>
        <w:spacing w:after="0" w:line="189"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We are subject to taxation on allocable portions of our net income and other taxes based on various methodologies employed by taxing authorities in certain localities.</w:t>
      </w:r>
    </w:p>
    <w:p>
      <w:pPr>
        <w:spacing w:after="0" w:line="170"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As we expand our operations outside of the United States, we may become subject to taxation based on the foreign statutory rates and our effective tax rate could fluctuate accordingly.</w:t>
      </w:r>
    </w:p>
    <w:p>
      <w:pPr>
        <w:spacing w:after="0" w:line="170" w:lineRule="exact"/>
        <w:rPr>
          <w:sz w:val="20"/>
          <w:szCs w:val="20"/>
          <w:color w:val="auto"/>
        </w:rPr>
      </w:pPr>
    </w:p>
    <w:p>
      <w:pPr>
        <w:ind w:right="40" w:firstLine="414"/>
        <w:spacing w:after="0" w:line="308" w:lineRule="auto"/>
        <w:rPr>
          <w:sz w:val="20"/>
          <w:szCs w:val="20"/>
          <w:color w:val="auto"/>
        </w:rPr>
      </w:pPr>
      <w:r>
        <w:rPr>
          <w:rFonts w:ascii="Arial" w:cs="Arial" w:eastAsia="Arial" w:hAnsi="Arial"/>
          <w:sz w:val="17"/>
          <w:szCs w:val="17"/>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effect for the year in which the differences are expected to affect taxable income. Valuation allowances are established when necessary to reduce net deferred tax assets to the amount expected to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stock 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81" w:lineRule="exact"/>
        <w:rPr>
          <w:sz w:val="20"/>
          <w:szCs w:val="20"/>
          <w:color w:val="auto"/>
        </w:rPr>
      </w:pPr>
    </w:p>
    <w:p>
      <w:pPr>
        <w:ind w:right="560" w:firstLine="414"/>
        <w:spacing w:after="0" w:line="302" w:lineRule="auto"/>
        <w:rPr>
          <w:sz w:val="20"/>
          <w:szCs w:val="20"/>
          <w:color w:val="auto"/>
        </w:rPr>
      </w:pPr>
      <w:r>
        <w:rPr>
          <w:rFonts w:ascii="Arial" w:cs="Arial" w:eastAsia="Arial" w:hAnsi="Arial"/>
          <w:sz w:val="16"/>
          <w:szCs w:val="16"/>
          <w:color w:val="auto"/>
        </w:rPr>
        <w:t>A description of our critical accounting policies that involve significant management judgments appears in our prospectus filed pursuant to Rule 424(b) under the Securities Act of 1933, as amended, with the Securities and Exchange Commission on October 11, 2012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filed in our prospectus.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3"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We are in the process of evaluating the benefits of relying on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w:t>
      </w:r>
    </w:p>
    <w:p>
      <w:pPr>
        <w:sectPr>
          <w:pgSz w:w="11900" w:h="16885" w:orient="portrait"/>
          <w:cols w:equalWidth="0" w:num="1">
            <w:col w:w="11420"/>
          </w:cols>
          <w:pgMar w:left="240" w:top="341" w:right="239" w:bottom="0" w:gutter="0" w:footer="0" w:header="0"/>
        </w:sectPr>
      </w:pPr>
    </w:p>
    <w:bookmarkStart w:id="17" w:name="page18"/>
    <w:bookmarkEnd w:id="17"/>
    <w:p>
      <w:pPr>
        <w:ind w:right="80"/>
        <w:spacing w:after="0" w:line="257" w:lineRule="auto"/>
        <w:rPr>
          <w:sz w:val="20"/>
          <w:szCs w:val="20"/>
          <w:color w:val="auto"/>
        </w:rPr>
      </w:pPr>
      <w:r>
        <w:rPr>
          <w:rFonts w:ascii="Arial" w:cs="Arial" w:eastAsia="Arial" w:hAnsi="Arial"/>
          <w:sz w:val="18"/>
          <w:szCs w:val="18"/>
          <w:color w:val="auto"/>
        </w:rPr>
        <w:t>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414"/>
        <w:spacing w:after="0" w:line="276" w:lineRule="auto"/>
        <w:rPr>
          <w:sz w:val="20"/>
          <w:szCs w:val="20"/>
          <w:color w:val="auto"/>
        </w:rPr>
      </w:pPr>
      <w:r>
        <w:rPr>
          <w:rFonts w:ascii="Arial" w:cs="Arial" w:eastAsia="Arial" w:hAnsi="Arial"/>
          <w:sz w:val="17"/>
          <w:szCs w:val="17"/>
          <w:color w:val="auto"/>
        </w:rPr>
        <w:t>In July 2012, the Financial Accounting Standards Board (“FASB”) issued a new accounting standard that simplifies the impairment test for indefinite-lived intangible assets other than goodwill. The new guidance gives the option to first assess qualitative factors to determine if it is more likely than not that the fair value of an indefinite-lived intangible asset is less than its carrying amount as a basis for determining whether it is necessary to perform a quantitative valuation test. The new standard is effective for fiscal years, and interim periods within those fiscal years, beginning on or after September 15, 2012. The adoption of this guidance is not expected to have a material impact on the Company’s consolidated financial statements.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1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42,260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31,156</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120,459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85,543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16,208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46,312</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32,760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33,369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25,216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18,897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8,742</w:t>
            </w:r>
          </w:p>
        </w:tc>
        <w:tc>
          <w:tcPr>
            <w:tcW w:w="1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5,688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18,523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2"/>
          </w:tcPr>
          <w:p>
            <w:pPr>
              <w:spacing w:after="0"/>
              <w:rPr>
                <w:sz w:val="12"/>
                <w:szCs w:val="12"/>
                <w:color w:val="auto"/>
              </w:rPr>
            </w:pPr>
          </w:p>
        </w:tc>
        <w:tc>
          <w:tcPr>
            <w:tcW w:w="9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172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3"/>
          </w:tcPr>
          <w:p>
            <w:pPr>
              <w:jc w:val="right"/>
              <w:ind w:right="90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2012 and 2011</w:t>
      </w:r>
    </w:p>
    <w:p>
      <w:pPr>
        <w:sectPr>
          <w:pgSz w:w="11900" w:h="16838" w:orient="portrait"/>
          <w:cols w:equalWidth="0" w:num="1">
            <w:col w:w="11460"/>
          </w:cols>
          <w:pgMar w:left="240" w:top="125" w:right="19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Statements of</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 Data:</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42,260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31,156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11,104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16,208</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11,373</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4,835</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3,992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2,811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1,181</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33,369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25,216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8,888</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5,941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2,947</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increased by $11.1 million, or 36%, to $42.3 million in the three months ended September 30, 2012 compared to the same period in 2011.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in revenue was primarily attributable to growth in paid downloads and an increase in revenue per download. In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and 2011, respectively, we delivered 18.7 million and 14.8 million paid downloads, and our average revenue per download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$2.26 from $2.10. Paid downloads increased primarily due to the acquisition of new customers from our marketing strategies. Revenue per download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primarily due to growth in our On Demand offerings, which capture a higher effective price per image. In the three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compared to the same period in 2011, revenue from North America increased to 36% from 33% while revenue from Europe decreased to 35% from 39%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revenue from the rest of the world increased to 29% from 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20" w:firstLine="450"/>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by $4.8 million, or 43%, to $16.2 million in the three months ended September 30,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2011. Royalties increased $3.3 million, or 38%, driven by an increase in downloads from existing and new customers. We anticipate royalties growing in line with revenues for the remainder of 2012 and beyond, although royalties as a percentage of revenue may vary somewhat from period to period. Credit card charges increased by $0.4 million, or 34%, to $1.5 million as a result of an increased card volume in the three months ended September 30, 2012. We anticipate credit card charges increasing for the remainder of 2012 and beyond as credit card transaction volume increases. Employee-related costs increased $0.5 million, or 60%, driven by increased average headcount in customer service, content and website operations to 48 employees in the three months ended September 30, 2012 from 36 employees in the three months ended September 30, 2011 to support increased customer volume and a more robust website infrastructure.</w:t>
      </w:r>
    </w:p>
    <w:p>
      <w:pPr>
        <w:spacing w:after="0" w:line="192" w:lineRule="exact"/>
        <w:rPr>
          <w:sz w:val="20"/>
          <w:szCs w:val="20"/>
          <w:color w:val="auto"/>
        </w:rPr>
      </w:pPr>
    </w:p>
    <w:p>
      <w:pPr>
        <w:ind w:right="140" w:firstLine="450"/>
        <w:spacing w:after="0" w:line="27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$1.1 million, or 13%, to $9.6 million in the three months ended September 30, 2012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2011. Advertising expenses, the largest component of our sales and marketing expenses, remained flat as compared to the prior period as constant levels of investment have yielded higher level of returns in the current period. However, we anticipate that our global advertising spend will begin to increase in absolute dollars for the remainder of 2012 and beyond, provided that we are able to acquire customers cost effectively as we further our international expansion. Employee-related expenses increased by $1.1 million, or 75%, driven by increases in sales and marketing average headcount to 63 employees in the three months ended September 30, 2012 from 37 employees in the three months ended September 30, 2011 and increased sales commissions as a result of growing revenue from direct sales.</w:t>
      </w:r>
    </w:p>
    <w:p>
      <w:pPr>
        <w:spacing w:after="0" w:line="178" w:lineRule="exact"/>
        <w:rPr>
          <w:sz w:val="20"/>
          <w:szCs w:val="20"/>
          <w:color w:val="auto"/>
        </w:rPr>
      </w:pPr>
    </w:p>
    <w:p>
      <w:pPr>
        <w:jc w:val="both"/>
        <w:ind w:right="500" w:firstLine="450"/>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$1.2 million, or 42%, to $4.0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2012 compared to the same period in 2011. Employee-related costs increased by $0.8 million, or 43%, driven by an average headcount increases in product, engineering and quality assurance to 78 employees in the three months ended September 30, 2012 from 56 employees in the three months ended September 30, 2011. The increased headcount costs were driven by an increasing number of research and development initiatives for our websites, including significant and ongoing efforts to improve our search capabilities. We anticipate increases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personnel costs as we continue to innovate and offer new products and features, although we expect the rate of increase will decline as we expand our operations. In addition, consulting costs and software licensing costs increased by $0.2 million primarily due to costs associated with contract developers and additional software licenses related to employee headcount growth.</w:t>
      </w:r>
    </w:p>
    <w:p>
      <w:pPr>
        <w:spacing w:after="0" w:line="181" w:lineRule="exact"/>
        <w:rPr>
          <w:sz w:val="20"/>
          <w:szCs w:val="20"/>
          <w:color w:val="auto"/>
        </w:rPr>
      </w:pPr>
    </w:p>
    <w:p>
      <w:pPr>
        <w:ind w:right="220" w:firstLine="450"/>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$1.0 million, or 39%, to $3.5 million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2012 compared to the same period in 2011. Employee-related expenses increased by $0.3 million, or 34%, as we increased the average headcount of the finance, legal, human resources, internal information technology and business intelligence personnel to 32 employees in the three months ended September 30, 2012 from 21 employees in the three months ended September 30, 2011 to support the growth in our revenue and the infrastructure necessary to operate as a public company. Professional fees increased by $0.3 million, or 186%, because of additional expenses associated with the preparation of our initial public offering. Non-cash equity-based compensation expense increased by $0.1 million, or 12%, due to the ongoing vesting of a common member’s ownership interest, as more fully described in Note 12 to our Unaudited Consolidated Financial Statements included in Part I, Item 1 of this Quarterly Report on Form 10-Q.</w:t>
      </w:r>
    </w:p>
    <w:p>
      <w:pPr>
        <w:sectPr>
          <w:pgSz w:w="11900" w:h="16838" w:orient="portrait"/>
          <w:cols w:equalWidth="0" w:num="1">
            <w:col w:w="11420"/>
          </w:cols>
          <w:pgMar w:left="240" w:top="125" w:right="239" w:bottom="0" w:gutter="0" w:footer="0" w:header="0"/>
        </w:sectPr>
      </w:pPr>
    </w:p>
    <w:bookmarkStart w:id="19" w:name="page20"/>
    <w:bookmarkEnd w:id="19"/>
    <w:p>
      <w:pPr>
        <w:ind w:right="140" w:firstLine="45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decreased by $0.1 million, or 42%, to $0.1 million in the three months ended September 30, 2012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2011 due to decreased New York City unincorporated business tax resulting from decreased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Statements of</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 Data:</w:t>
            </w: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120,459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85,543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34,916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46,312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32,529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13,783</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32,760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22,329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11,062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7,066</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3,996</w:t>
            </w: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11,430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101,564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68,760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32,804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18,895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16,783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18,897</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16,791</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2,106</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Revenue increased by $34.9 million, or 41%, to $120.5 million in the nine months ended September 30, 2012 compared to the same period in 2011. This increase in revenue was primarily attributable to growth in paid downloads and an increase in revenue per download. In the nine months ended September 30, 2012 and 2011, respectively, we delivered 54.7 million and 42.5 million paid downloads, and our average revenue per download increased to $2.20 from $2.01. Paid downloads increased primarily due to the acquisition of new customers from our marketing strategies. Revenue per download increased primarily due to growth in our On Demand offerings, which capture a higher effective price per image. In the nine months ended September 30, 2012 compared to the same period in 2011, revenue from North America increased to 36% from 33% while revenue from Europe decreased to 37% from 40% and revenue from the rest of the world remained flat at 27%.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$13.8 million, or 42%, to $46.3 million in the nine months ended September 30, 2012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2011. Royalties increased $10.2 million, or 43%, driven by an increase in downloads from existing and new customers. We anticipate royalties growing in line with revenues for the remainder of 2012 and beyond, although royalties as a percentage of revenue may vary somewhat from period to period. Credit card charges increased by $0.4 million, or 9%, as a result of increasing card volume in the nine months ended September 30, 2012 compared to the same period in 2011 combined with a decrease due to significantly lower credit card processing fees per transaction as we switched the majority of our credit card processing to a new vendor in May 2011. We anticipate credit card charges increasing for the remainder of 2012 and beyond as credit card transaction volume increases. Employee-related costs increased $1.2 million, or 57%, driven by increased average headcount in customer service, content and website operations to 43 employees in the nine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months ended September 30, 2012 from 34 employees in the nine months ended September 30, 2011 to support increased customer volume and a more robust website infrastructure.</w:t>
      </w:r>
    </w:p>
    <w:p>
      <w:pPr>
        <w:spacing w:after="0" w:line="170"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$10.4 million, or 47%, to $32.8 million in the nine months ended September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2011. Advertising expenses, the largest component of our sales and marketing expenses, accounted for approximately 68% of that increase, as such expenses increased by $7.1 million, or 40% as compared to the prior period, as a result of increased spending on both online and offline advertising, including spending on both search and display advertising globally. We also anticipate that our global advertising spend will continue to increase in absolute dollars for the remainder of 2012 and beyond, provided that we are able to acquire customers cost effectively. Employee-related expenses increased by $2.8 million, or 82%, driven by increases in average sales and marketing headcount to 55 employees in the nine months ended September 30, 2012 from 35 employees in the nine months ended September 30, 2011 and increased sales commissions as a result of growing revenue from direct sales.</w:t>
      </w:r>
    </w:p>
    <w:p>
      <w:pPr>
        <w:spacing w:after="0" w:line="167" w:lineRule="exact"/>
        <w:rPr>
          <w:sz w:val="20"/>
          <w:szCs w:val="20"/>
          <w:color w:val="auto"/>
        </w:rPr>
      </w:pPr>
    </w:p>
    <w:p>
      <w:pPr>
        <w:ind w:right="120" w:firstLine="450"/>
        <w:spacing w:after="0" w:line="25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$4.0 million, or 57%, to $11.1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compared to the same period in 2011. Employee-related costs increased by $2.6 million, or 52%, driven by average headcount increases in product, engineering and quality assurance to 72 employees in the nine months ended September 30, 2012 from 47 employees in the nine months ended September 30, 2011. The increased average headcount costs were driven by an increasing number of research and development initiatives for our websites, including significant and ongoing efforts to improve our search capabilities. We anticipate increases in personnel costs as we continue to innovate and offer new products and features, although we expect the rate of increase will decline as we expand our operations. In addition, consulting costs and software licensing costs increased by $0.8 million primarily due to costs associated with contract developers and additional software licenses related to employee headcount growth.</w:t>
      </w:r>
    </w:p>
    <w:p>
      <w:pPr>
        <w:sectPr>
          <w:pgSz w:w="11900" w:h="16838" w:orient="portrait"/>
          <w:cols w:equalWidth="0" w:num="1">
            <w:col w:w="11420"/>
          </w:cols>
          <w:pgMar w:left="240" w:top="341" w:right="239" w:bottom="0" w:gutter="0" w:footer="0" w:header="0"/>
        </w:sectPr>
      </w:pPr>
    </w:p>
    <w:bookmarkStart w:id="20" w:name="page21"/>
    <w:bookmarkEnd w:id="20"/>
    <w:p>
      <w:pPr>
        <w:spacing w:after="0" w:line="23" w:lineRule="exact"/>
        <w:rPr>
          <w:sz w:val="20"/>
          <w:szCs w:val="20"/>
          <w:color w:val="auto"/>
        </w:rPr>
      </w:pPr>
    </w:p>
    <w:p>
      <w:pPr>
        <w:ind w:right="120" w:firstLine="450"/>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$4.6 million, or 67%, to $11.4 million in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2012 compared to the same period in 2011. Employee-related expenses increased by $1.0 million, or 36%, as we increased the average headcount of the finance, legal, human resources, internal information technology and business intelligence personnel to 32 employees in the nine months ended September 30, 2012 from 21 employees in the nine months ended September 30, 2011 to support the growth in our revenue and the infrastructure necessary to operate as a public company. We anticipate headcount will increase for the remainder of 2012 and beyond but we expect that the rate of growth will moderate as we expand our operations. Professional fees increased by $1.3 million, or 265%, because of additional expenses associated with our preparation of our initial public offering. Non-cash equity-based compensation expense increased by $1.4 million, or 103%, due to the ongoing vesting of a common member’s ownership interest, as more fully described in Note 12 to our Unaudited Consolidated Financial Statements included in Part I, Item 1 of this Quarterly Report on Form 10-Q.</w:t>
      </w:r>
    </w:p>
    <w:p>
      <w:pPr>
        <w:spacing w:after="0" w:line="182" w:lineRule="exact"/>
        <w:rPr>
          <w:sz w:val="20"/>
          <w:szCs w:val="20"/>
          <w:color w:val="auto"/>
        </w:rPr>
      </w:pPr>
    </w:p>
    <w:p>
      <w:pPr>
        <w:ind w:right="160" w:firstLine="450"/>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$0.3 million, or 47%, to $0.4 million in the nine months ended September 30, 2012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2011 due to decreased New York City unincorporated business tax resulting from decreased taxable income.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225"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93" w:lineRule="exact"/>
        <w:rPr>
          <w:sz w:val="20"/>
          <w:szCs w:val="20"/>
          <w:color w:val="auto"/>
        </w:rPr>
      </w:pPr>
    </w:p>
    <w:p>
      <w:pPr>
        <w:ind w:right="260" w:firstLine="450"/>
        <w:spacing w:after="0" w:line="312" w:lineRule="auto"/>
        <w:rPr>
          <w:sz w:val="20"/>
          <w:szCs w:val="20"/>
          <w:color w:val="auto"/>
        </w:rPr>
      </w:pPr>
      <w:r>
        <w:rPr>
          <w:rFonts w:ascii="Arial" w:cs="Arial" w:eastAsia="Arial" w:hAnsi="Arial"/>
          <w:sz w:val="16"/>
          <w:szCs w:val="16"/>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As of September 30, 2012, we had cash and cash equivalents of $28.8 million. Since inception, we have financed our operations primarily through cash flow generated from operations. Historically, our principal uses of cash have been funding our operations, capital expenditures and distributions to members. On October 4, 2012, we made a final distribution to members constituting approximately all of the cash generated from the operations of the LLC, since the last distribution to members and any other cash and cash equivalents on hand at the time of the distribution, other than any amounts received under the term loan facility, as described below. Following this final distribution, no additional distributions were made to members of the LLC prior to the Reorganization. Additionally, following the Reorganization, our tax rate and related tax payments have increased significantly as we became subject to federal, state and additional city income tax.</w:t>
      </w:r>
    </w:p>
    <w:p>
      <w:pPr>
        <w:spacing w:after="0" w:line="189"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As discussed in greater detail under “Financing Transactions” below, we recently entered into a term loan facility. The borrowings from the term loan facility will be used to fund the short-term capital needs of our operations until we generate additional cash flow from operations following the final distribution to members described above and our IPO.</w:t>
      </w:r>
    </w:p>
    <w:p>
      <w:pPr>
        <w:spacing w:after="0" w:line="181"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8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Subsequent to the end of our third quarter on September 30, 2012, on October 16, 2012, we completed our IPO of 5,175,000 shares, including 675,000 shares sold as a result of the underwriters’ exercise of their overallotment option, at a price of $17.00 per share. The IPO resulted in net proceeds to the Company from the offering of approximately $81.8 million after deducting underwriting discounts and commissions, and before deducting total estimated expenses in connection with the offering of $4.4 million.</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right="20" w:firstLine="450"/>
        <w:spacing w:after="0" w:line="308" w:lineRule="auto"/>
        <w:rPr>
          <w:sz w:val="20"/>
          <w:szCs w:val="20"/>
          <w:color w:val="auto"/>
        </w:rPr>
      </w:pPr>
      <w:r>
        <w:rPr>
          <w:rFonts w:ascii="Arial" w:cs="Arial" w:eastAsia="Arial" w:hAnsi="Arial"/>
          <w:sz w:val="17"/>
          <w:szCs w:val="17"/>
          <w:color w:val="auto"/>
        </w:rPr>
        <w:t>On September 21, 2012, we entered into a loan and security agreement with Silicon Valley Bank providing for a $12.0 million term loan facility, which we refer to as the term loan facility. We will use the net proceeds from the term loan facility for working capital and general business purposes.</w:t>
      </w:r>
    </w:p>
    <w:p>
      <w:pPr>
        <w:spacing w:after="0" w:line="14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term loan facility provides for a term loan of $12.0 million and matures on the earlier of (i) September 21, 2013 and (ii) the date on which such facility is accelerated following the occurrence of an event of default. The term loan facility provides for interest on the term loan, at our option, at the prime rate as published in the Wall Street Journal minus 0.75%, or a LIBOR-based rate plus a margin of 2.0%. We selected the one-month LIBOR-based rate and can select a new interest rate option after the month expires. On October 21, 2012, we selected the one-month LIBOR-based rate in connection with the reset of our term loan facility. The newly selected interest rate expires on November 21, 2012 at which time we can select a new interest rate option.</w:t>
      </w:r>
    </w:p>
    <w:p>
      <w:pPr>
        <w:spacing w:after="0" w:line="158" w:lineRule="exact"/>
        <w:rPr>
          <w:sz w:val="20"/>
          <w:szCs w:val="20"/>
          <w:color w:val="auto"/>
        </w:rPr>
      </w:pPr>
    </w:p>
    <w:p>
      <w:pPr>
        <w:ind w:right="680" w:firstLine="468"/>
        <w:spacing w:after="0" w:line="277" w:lineRule="auto"/>
        <w:rPr>
          <w:sz w:val="20"/>
          <w:szCs w:val="20"/>
          <w:color w:val="auto"/>
        </w:rPr>
      </w:pPr>
      <w:r>
        <w:rPr>
          <w:rFonts w:ascii="Arial" w:cs="Arial" w:eastAsia="Arial" w:hAnsi="Arial"/>
          <w:sz w:val="18"/>
          <w:szCs w:val="18"/>
          <w:color w:val="auto"/>
        </w:rPr>
        <w:t>The term loan facility includes financial covenants of a minimum EBITDA determined quarterly, measured on a trailing 12 month basis and a minimum liquidity requirement.</w:t>
      </w:r>
    </w:p>
    <w:p>
      <w:pPr>
        <w:sectPr>
          <w:pgSz w:w="11900" w:h="16861" w:orient="portrait"/>
          <w:cols w:equalWidth="0" w:num="1">
            <w:col w:w="11380"/>
          </w:cols>
          <w:pgMar w:left="240" w:top="125" w:right="27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468"/>
        <w:spacing w:after="0" w:line="286" w:lineRule="auto"/>
        <w:rPr>
          <w:sz w:val="20"/>
          <w:szCs w:val="20"/>
          <w:color w:val="auto"/>
        </w:rPr>
      </w:pPr>
      <w:r>
        <w:rPr>
          <w:rFonts w:ascii="Arial" w:cs="Arial" w:eastAsia="Arial" w:hAnsi="Arial"/>
          <w:sz w:val="17"/>
          <w:szCs w:val="17"/>
          <w:color w:val="auto"/>
        </w:rPr>
        <w:t>The term loan facility also includes customary negative and affirmative covenants including, among others, limitations on our ability to: (i) incur additional debt; (ii) create liens; (iii) make certain investments, loans and advances; (iv) sell assets; (v) pay dividends or make distributions or other restricted payments; (vi) engage in mergers or consolidations (other than the Reorganization); or (vii) change our business.</w:t>
      </w:r>
    </w:p>
    <w:p>
      <w:pPr>
        <w:spacing w:after="0" w:line="166" w:lineRule="exact"/>
        <w:rPr>
          <w:sz w:val="20"/>
          <w:szCs w:val="20"/>
          <w:color w:val="auto"/>
        </w:rPr>
      </w:pPr>
    </w:p>
    <w:p>
      <w:pPr>
        <w:jc w:val="both"/>
        <w:ind w:right="340" w:firstLine="450"/>
        <w:spacing w:after="0" w:line="264" w:lineRule="auto"/>
        <w:rPr>
          <w:sz w:val="20"/>
          <w:szCs w:val="20"/>
          <w:color w:val="auto"/>
        </w:rPr>
      </w:pPr>
      <w:r>
        <w:rPr>
          <w:rFonts w:ascii="Arial" w:cs="Arial" w:eastAsia="Arial" w:hAnsi="Arial"/>
          <w:sz w:val="18"/>
          <w:szCs w:val="18"/>
          <w:color w:val="auto"/>
        </w:rPr>
        <w:t>Amounts under the term loan facility may become due upon certain events of default including, among others, failure to comply with the term loan facility’s covenants, bankruptcy, default on certain other indebtedness or a change in control. The default rate under the term loan facility is an additional 2.0% per annum over the otherwise applicable rate.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obligations under the term loan facility are secured by substantially all of our assets, other than our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2012, we were in compliance with the financial covenants and other covenants applicable to us under the term loan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including borrowings under our term loan facility,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Consistent with previous periods, future capital expenditures will focus on acquiring additional servers and network connectivity</w:t>
      </w:r>
      <w:r>
        <w:rPr>
          <w:rFonts w:ascii="Arial" w:cs="Arial" w:eastAsia="Arial" w:hAnsi="Arial"/>
          <w:sz w:val="17"/>
          <w:szCs w:val="17"/>
          <w:i w:val="1"/>
          <w:iCs w:val="1"/>
          <w:color w:val="auto"/>
        </w:rPr>
        <w:t xml:space="preserve"> </w:t>
      </w:r>
      <w:r>
        <w:rPr>
          <w:rFonts w:ascii="Arial" w:cs="Arial" w:eastAsia="Arial" w:hAnsi="Arial"/>
          <w:sz w:val="17"/>
          <w:szCs w:val="17"/>
          <w:color w:val="auto"/>
        </w:rPr>
        <w:t>hardware and software, leasehold improvements and general corporate infrastructure. We anticipate capital expenditures of approximately $1.7 million for the remainder of 2012. See Note 8 to our Unaudited Consolidated Financial Statements included in Part I, Item 1 of this Quarterly Report on Form 10-Q for information regarding capital expenditures for the three and nine months ended September 30, 2012 and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1"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In the nine months ended September 30, 2012, net cash provided by operating activities was $32.9 million including net income of $18.5 million and non-cash compensation of $2.8 million. Cash inflows from changes in operating assets and liabilities included an increase in deferred revenue of $7.8 million, primarily related to an increase in orders for both subscription and On Demand products. Contributor royalties payable increased by $1.5 million due to increasing royalty expenses generated by increased customer download activity.</w:t>
      </w:r>
    </w:p>
    <w:p>
      <w:pPr>
        <w:spacing w:after="0" w:line="187" w:lineRule="exact"/>
        <w:rPr>
          <w:sz w:val="20"/>
          <w:szCs w:val="20"/>
          <w:color w:val="auto"/>
        </w:rPr>
      </w:pPr>
    </w:p>
    <w:p>
      <w:pPr>
        <w:ind w:firstLine="450"/>
        <w:spacing w:after="0" w:line="288" w:lineRule="auto"/>
        <w:rPr>
          <w:sz w:val="20"/>
          <w:szCs w:val="20"/>
          <w:color w:val="auto"/>
        </w:rPr>
      </w:pPr>
      <w:r>
        <w:rPr>
          <w:rFonts w:ascii="Arial" w:cs="Arial" w:eastAsia="Arial" w:hAnsi="Arial"/>
          <w:sz w:val="16"/>
          <w:szCs w:val="16"/>
          <w:color w:val="auto"/>
        </w:rPr>
        <w:t>In the nine months ended September 30, 2011, net cash provided by operating activities was $29.5 million, including net income of $16.1 million and non-cash compensation of $1.4 million. Cash inflows from changes in operating assets and liabilities included an increase in deferred revenue of $7.9 million, primarily related to an increase in orders for both subscription and On Demand products. Accounts payable and other operating liabilities increased by</w:t>
      </w:r>
    </w:p>
    <w:p>
      <w:pPr>
        <w:jc w:val="both"/>
        <w:ind w:right="200"/>
        <w:spacing w:after="0" w:line="255" w:lineRule="auto"/>
        <w:rPr>
          <w:sz w:val="20"/>
          <w:szCs w:val="20"/>
          <w:color w:val="auto"/>
        </w:rPr>
      </w:pPr>
      <w:r>
        <w:rPr>
          <w:rFonts w:ascii="Arial" w:cs="Arial" w:eastAsia="Arial" w:hAnsi="Arial"/>
          <w:sz w:val="18"/>
          <w:szCs w:val="18"/>
          <w:color w:val="auto"/>
        </w:rPr>
        <w:t>$3.2 million as trade payables grew in both average size and volume and payroll costs increased due to headcount expansion. Contributor royalties payable increased by $1.2 million due to increasing royalty expenses generated by increased customer download activity. Contributor royalties are generally paid in the following month after being earned.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Our investing activities have consisted primarily of capital expenditures to purchase software and equipment related to our data centers, as well as capitalization of leasehold improvements and software and website development costs.</w:t>
      </w:r>
    </w:p>
    <w:p>
      <w:pPr>
        <w:spacing w:after="0" w:line="170" w:lineRule="exact"/>
        <w:rPr>
          <w:sz w:val="20"/>
          <w:szCs w:val="20"/>
          <w:color w:val="auto"/>
        </w:rPr>
      </w:pPr>
    </w:p>
    <w:p>
      <w:pPr>
        <w:ind w:right="320" w:firstLine="450"/>
        <w:spacing w:after="0" w:line="277" w:lineRule="auto"/>
        <w:rPr>
          <w:sz w:val="20"/>
          <w:szCs w:val="20"/>
          <w:color w:val="auto"/>
        </w:rPr>
      </w:pPr>
      <w:r>
        <w:rPr>
          <w:rFonts w:ascii="Arial" w:cs="Arial" w:eastAsia="Arial" w:hAnsi="Arial"/>
          <w:sz w:val="18"/>
          <w:szCs w:val="18"/>
          <w:color w:val="auto"/>
        </w:rPr>
        <w:t>Cash used in investing activities in the nine months ended September 30, 2012 and 2011 was $3.4 million and $2.8 million, respectively, consisting entirely of capital expenditures, primarily for server and office equipment.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We historically made monthly distributions to our members typically equaling the cash in excess of that required for general working capital. In connection with the Reorganization, these distributions ceased, with the final distribution to members occurring on October 4, 2012. We recently entered into a term loan facility, which will be used to fund our operations from the time of our Reorganization until additional cash flow from operations has been generated. Additionally, during the nine months ended September 30, 2012, we paid $2.5 million primarily related to offering costs which are considered cash used in financing activities. Following the completion of our IPO, we expect that our cash and cash equivalents, cash from operations, including borrowings under our term loan facility, will be sufficient to meet our anticipated cash needs for at least the next 12 months.</w:t>
      </w:r>
    </w:p>
    <w:p>
      <w:pPr>
        <w:spacing w:after="0" w:line="178" w:lineRule="exact"/>
        <w:rPr>
          <w:sz w:val="20"/>
          <w:szCs w:val="20"/>
          <w:color w:val="auto"/>
        </w:rPr>
      </w:pPr>
    </w:p>
    <w:p>
      <w:pPr>
        <w:jc w:val="both"/>
        <w:ind w:right="100" w:firstLine="450"/>
        <w:spacing w:after="0" w:line="312" w:lineRule="auto"/>
        <w:rPr>
          <w:sz w:val="20"/>
          <w:szCs w:val="20"/>
          <w:color w:val="auto"/>
        </w:rPr>
      </w:pPr>
      <w:r>
        <w:rPr>
          <w:rFonts w:ascii="Arial" w:cs="Arial" w:eastAsia="Arial" w:hAnsi="Arial"/>
          <w:sz w:val="16"/>
          <w:szCs w:val="16"/>
          <w:color w:val="auto"/>
        </w:rPr>
        <w:t>In the nine months ended September 30, 2012 and 2011, cash used in financing activities was $14.8 million and $24.8 million, respectively, consisting entirely of distributions to members. The net decrease in cash used in financing activities in the nine months ended September 30, 2012 was due to receipt of a $12 million term loan facility combined with the offering costs of $2.5 million paid during the nine month period ended September 30, 2012.</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41" w:right="259" w:bottom="0" w:gutter="0" w:footer="0" w:header="0"/>
        </w:sectPr>
      </w:pPr>
    </w:p>
    <w:bookmarkStart w:id="22" w:name="page23"/>
    <w:bookmarkEnd w:id="22"/>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We lease office facilities in New York, New York,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2012 and 2013. We anticipate leasing additional office space and increasing our co-location facilities, consistent with our historical business model. We do not have any material capital lease obligations, and our property, equipment and software have been purchased primarily with cash.</w:t>
      </w:r>
    </w:p>
    <w:p>
      <w:pPr>
        <w:spacing w:after="0" w:line="15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have been no material changes in our contractual obligations since our disclosures within our final prospectus filed with the Securities and Exchange Commission on October 11,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2012, we did not have any off-balance sheet arrangements.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w:t>
      </w:r>
    </w:p>
    <w:p>
      <w:pPr>
        <w:spacing w:after="0" w:line="18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addition, on September 21, 2012, we entered into a loan and security agreement that provides for a $12.0 million term loan facility. The term loan bears interest, at our option, at either the prime rate minus 0.75% or at LIBOR plus 2.00%. As of September 30, 2012, we had $12.0 million in outstanding borrowings under the term loan facility. We do not believe an increase in interest rates of 1 percentage point would have a material effect on interest expense, and therefore we do not expect our operating results or cash flows to be materially affected to any degree by a sudden change in market interest rates.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Revenues derived from customers residing outside North America as a percentage of total revenue was approximately 64% and 66% for the nine months ended September 30, 2012 and 2011, respectively. Our sales to international customers are denominated in multiple currencies, including but not limited to the U.S. Dollar, the Euro, the British Pound and the Yen. Revenue denominated in foreign currencies as a percentage of total revenue was approximately 31% and 35% for the nine months ended September 30, 2012 and 2011, respectively. We have foreign currency risks related to foreign-currency denominated revenues. All amounts owed and paid to our foreign contributors are denominated and paid in U.S. Dollars. Accordingly, changes in exchange rates, and in particular a strengthening of the U.S. Dollars, will negatively affect our revenue and other operating results as expressed in U.S. Dollars. Based on our nine months ended September 30, 2012 foreign currency denominated revenue, a 10% change in the exchange rate of the U.S. Dollar against all foreign currency denominated revenues would result in an approximately 3% impact on our revenue, respectively.</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the nine months ended September 30, 2012 and 2011,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w:t>
      </w:r>
    </w:p>
    <w:p>
      <w:pPr>
        <w:sectPr>
          <w:pgSz w:w="11900" w:h="16932" w:orient="portrait"/>
          <w:cols w:equalWidth="0" w:num="1">
            <w:col w:w="11400"/>
          </w:cols>
          <w:pgMar w:left="240" w:top="121" w:right="259" w:bottom="0" w:gutter="0" w:footer="0" w:header="0"/>
        </w:sectPr>
      </w:pPr>
    </w:p>
    <w:bookmarkStart w:id="23" w:name="page24"/>
    <w:bookmarkEnd w:id="23"/>
    <w:p>
      <w:pPr>
        <w:ind w:right="20"/>
        <w:spacing w:after="0" w:line="279" w:lineRule="auto"/>
        <w:rPr>
          <w:sz w:val="20"/>
          <w:szCs w:val="20"/>
          <w:color w:val="auto"/>
        </w:rPr>
      </w:pPr>
      <w:r>
        <w:rPr>
          <w:rFonts w:ascii="Arial" w:cs="Arial" w:eastAsia="Arial" w:hAnsi="Arial"/>
          <w:sz w:val="17"/>
          <w:szCs w:val="17"/>
          <w:color w:val="auto"/>
        </w:rPr>
        <w:t>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Although we are not currently a party to any litigation, 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89"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the financial and other information contained in this Quarterly Report on Form 10-Q, before deciding whether to invest in shares of our common stock. If any of the following risks actually occur, our business, financial condition or operating results could be materially adversely affected. This could cause the trading price of our common stock to decline, and you may lose part or all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our ability to continue to attract customers and contributors to our online marketplace for commercial digital imagery.</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success of our business and our future growth depends significantly on our ability to continue to attract and retain new customers and contributors to our online marketplace for commercial digital imagery. To maintain and increase our revenue, we must regularly add new customers and retain our existing customers. An increase in paying customers has generally attracted more images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image library and the functionality and features of our marketplace. Our marketing efforts may be unsuccessful, our image library may fail to grow as anticipated and new technologies may render the systems and features of our marketplace obsolete, any of which would adversely affect our results of operations and future growth prospects.</w:t>
      </w:r>
    </w:p>
    <w:p>
      <w:pPr>
        <w:spacing w:after="0" w:line="178"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Our business depends in large part on repeat customer purchases from both our subscription-based and our On Demand purchase options. If customers reduce or cease their spending with us, or if content contributors reduce or end their participation in our marketplace, our business will be harmed.</w:t>
      </w:r>
    </w:p>
    <w:p>
      <w:pPr>
        <w:spacing w:after="0" w:line="10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library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 Furthermore, although historically the gross margins and revenue retention rates from our subscription-based and our On Demand purchase options have been substantially similar, there can be no assurance that this will continue in future periods. To the extent that revenue from our On Demand purchases continues to increase as a percentage of our total revenue, we will become more dependent upon such purchase options.</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 several years. Some or all of these assumptions may be incorrect. The market for online commercial digital imagery may not develop as we expect or as third party analysts have forecasted or we may fail to address the needs of this market.</w:t>
      </w:r>
    </w:p>
    <w:p>
      <w:pPr>
        <w:spacing w:after="0" w:line="17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47" w:lineRule="exact"/>
        <w:rPr>
          <w:sz w:val="20"/>
          <w:szCs w:val="20"/>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new customers and retain existing customers;</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customers the kinds of images they are seeking;</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commercial digital imagery marketplace;</w:t>
      </w:r>
    </w:p>
    <w:p>
      <w:pPr>
        <w:spacing w:after="0" w:line="236" w:lineRule="exact"/>
        <w:rPr>
          <w:rFonts w:ascii="Arial" w:cs="Arial" w:eastAsia="Arial" w:hAnsi="Arial"/>
          <w:sz w:val="17"/>
          <w:szCs w:val="17"/>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 against the misuse of our imagery;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raise awareness of our online community and brand name;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expand our business;</w:t>
      </w:r>
    </w:p>
    <w:p>
      <w:pPr>
        <w:spacing w:after="0" w:line="225" w:lineRule="exact"/>
        <w:rPr>
          <w:rFonts w:ascii="Arial" w:cs="Arial" w:eastAsia="Arial" w:hAnsi="Arial"/>
          <w:sz w:val="18"/>
          <w:szCs w:val="18"/>
          <w:color w:val="auto"/>
        </w:rPr>
      </w:pPr>
    </w:p>
    <w:p>
      <w:pPr>
        <w:ind w:left="700" w:right="300" w:hanging="332"/>
        <w:spacing w:after="0" w:line="277" w:lineRule="auto"/>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 scalable, high-performance technology infrastructure that can efficiently and reliably handle increased customer and contributor usage globally, as well as the deployment of new features and services;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 interruptions or disruptions in our services.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22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47"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online marketplaces for imagery such as iStockphoto, Fotolia and Dreamstime;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traditional stock content providers such as Getty Images and Corbis Corporation;</w:t>
      </w:r>
    </w:p>
    <w:p>
      <w:pPr>
        <w:spacing w:after="0" w:line="225" w:lineRule="exact"/>
        <w:rPr>
          <w:rFonts w:ascii="Arial" w:cs="Arial" w:eastAsia="Arial" w:hAnsi="Arial"/>
          <w:sz w:val="18"/>
          <w:szCs w:val="18"/>
          <w:color w:val="auto"/>
        </w:rPr>
      </w:pPr>
    </w:p>
    <w:p>
      <w:pPr>
        <w:ind w:left="700" w:right="400" w:hanging="332"/>
        <w:spacing w:after="0" w:line="277" w:lineRule="auto"/>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specialized visual content companies that are established in local, content or product-specific market segments such as Reuters Group PLC, the Associated Press and Thought Equity Motion;</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websites focused on image search and discovery such as Google Images;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websites for image hosting, art and related products such as Flickr;</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networking and social media services such as Facebook;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commissioned photographers and photography agencies.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 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library.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competitors could enter our market and we may be unsuccessful in competing with these new entrants.</w:t>
      </w:r>
    </w:p>
    <w:p>
      <w:pPr>
        <w:spacing w:after="0" w:line="225"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ectPr>
          <w:pgSz w:w="11900" w:h="16838" w:orient="portrait"/>
          <w:cols w:equalWidth="0" w:num="1">
            <w:col w:w="11360"/>
          </w:cols>
          <w:pgMar w:left="240" w:top="517" w:right="299" w:bottom="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may not be able to prevent the misuse of our imagery and we may be subject to infringement claims.</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rely on intellectual property laws and contractual restrictions to protect our rights and the imagery in our library.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library,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2009, we have received approximately 30 customer claims for indemnification. Following investigation of such claims, less than one-third resulted in our making a cash payment to settle such claims. Aggregate amounts paid to date to settle customer indemnification claims have not been material. Although we have insurance to 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8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8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increase market awareness of our company and our services, our revenue may not continue to grow.</w:t>
      </w:r>
    </w:p>
    <w:p>
      <w:pPr>
        <w:spacing w:after="0" w:line="225" w:lineRule="exact"/>
        <w:rPr>
          <w:sz w:val="20"/>
          <w:szCs w:val="20"/>
          <w:color w:val="auto"/>
        </w:rPr>
      </w:pPr>
    </w:p>
    <w:p>
      <w:pPr>
        <w:jc w:val="both"/>
        <w:ind w:right="480" w:firstLine="324"/>
        <w:spacing w:after="0" w:line="312" w:lineRule="auto"/>
        <w:rPr>
          <w:sz w:val="20"/>
          <w:szCs w:val="20"/>
          <w:color w:val="auto"/>
        </w:rPr>
      </w:pPr>
      <w:r>
        <w:rPr>
          <w:rFonts w:ascii="Arial" w:cs="Arial" w:eastAsia="Arial" w:hAnsi="Arial"/>
          <w:sz w:val="16"/>
          <w:szCs w:val="16"/>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248"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w:t>
      </w:r>
    </w:p>
    <w:p>
      <w:pPr>
        <w:sectPr>
          <w:pgSz w:w="11900" w:h="16838" w:orient="portrait"/>
          <w:cols w:equalWidth="0" w:num="1">
            <w:col w:w="11400"/>
          </w:cols>
          <w:pgMar w:left="240" w:top="341" w:right="259" w:bottom="0" w:gutter="0" w:footer="0" w:header="0"/>
        </w:sectPr>
      </w:pPr>
    </w:p>
    <w:bookmarkStart w:id="26" w:name="page27"/>
    <w:bookmarkEnd w:id="26"/>
    <w:p>
      <w:pPr>
        <w:ind w:right="600"/>
        <w:spacing w:after="0" w:line="277" w:lineRule="auto"/>
        <w:rPr>
          <w:sz w:val="20"/>
          <w:szCs w:val="20"/>
          <w:color w:val="auto"/>
        </w:rPr>
      </w:pPr>
      <w:r>
        <w:rPr>
          <w:rFonts w:ascii="Arial" w:cs="Arial" w:eastAsia="Arial" w:hAnsi="Arial"/>
          <w:sz w:val="18"/>
          <w:szCs w:val="18"/>
          <w:color w:val="auto"/>
        </w:rPr>
        <w:t>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One of our strategic goals is to increase the percentage of our revenues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6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2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Continuing to expand our business to attract customers and contributors in countries other than the United States is a critical element of our business strategy. In 2011, approximately 66%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library and user experience for foreign markets. Our ability to expand our business and to attract talented employees, and customers and contributors in an increasing number of international markets requires considerable management attention and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97"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modifying our technology and marketing our offerings for customers and contributors beyond the 10 languages we currently offer;</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localizing our content to foreign customers’ preferences and customs;</w:t>
      </w:r>
    </w:p>
    <w:p>
      <w:pPr>
        <w:spacing w:after="0" w:line="225" w:lineRule="exact"/>
        <w:rPr>
          <w:rFonts w:ascii="Arial" w:cs="Arial" w:eastAsia="Arial" w:hAnsi="Arial"/>
          <w:sz w:val="18"/>
          <w:szCs w:val="18"/>
          <w:color w:val="auto"/>
        </w:rPr>
      </w:pPr>
    </w:p>
    <w:p>
      <w:pPr>
        <w:ind w:left="700" w:right="80" w:hanging="332"/>
        <w:spacing w:after="0" w:line="264" w:lineRule="auto"/>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81" w:lineRule="exact"/>
        <w:rPr>
          <w:rFonts w:ascii="Arial" w:cs="Arial" w:eastAsia="Arial" w:hAnsi="Arial"/>
          <w:sz w:val="18"/>
          <w:szCs w:val="18"/>
          <w:color w:val="auto"/>
        </w:rPr>
      </w:pPr>
    </w:p>
    <w:p>
      <w:pPr>
        <w:ind w:left="700" w:right="20" w:hanging="332"/>
        <w:spacing w:after="0" w:line="277" w:lineRule="auto"/>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foreign laws and regulations, including disclosure requirements, privacy laws, rights of publicity, technology laws and laws relating to content;</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and enforcing our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foreign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adverse foreign tax consequences;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strains on our financial and other systems to properly administer VAT, withholdings and other taxes;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remedying the material weakness in our internal control over financial reporting relating to tax compliance;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As a result of our Reorganization, we are subject to entity-level taxation, which will result in significantly greater income tax expense than we have incurred historically.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our Reorganization, we operated as a New York limited liability company. As a limited liability company, we recognized no federal and state income taxes, as the members of the LLC, and not the entity itself, were subject to income tax on their allocated share of our earnings. On October 5, 2012, we reorganized as a Delaware corporation. Consequently, on a going-forward basis, we will be subject to entity-level taxation even though historically Shutterstock Images LLC did not pay U.S. federal or state income taxes. As a result, our corporate income tax rate will increase significantly as we are now subject to federal, state and additional city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24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ectPr>
          <w:pgSz w:w="11900" w:h="16838" w:orient="portrait"/>
          <w:cols w:equalWidth="0" w:num="1">
            <w:col w:w="11400"/>
          </w:cols>
          <w:pgMar w:left="240" w:top="125" w:right="259" w:bottom="0" w:gutter="0" w:footer="0" w:header="0"/>
        </w:sectPr>
      </w:pPr>
    </w:p>
    <w:bookmarkStart w:id="27" w:name="page28"/>
    <w:bookmarkEnd w:id="27"/>
    <w:p>
      <w:pPr>
        <w:spacing w:after="0" w:line="2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8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obligations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 discourage customers from purchasing images from us, or otherwise substantially harm our business and results of operations. 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 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w:t>
      </w:r>
    </w:p>
    <w:p>
      <w:pPr>
        <w:sectPr>
          <w:pgSz w:w="11900" w:h="16865" w:orient="portrait"/>
          <w:cols w:equalWidth="0" w:num="1">
            <w:col w:w="11420"/>
          </w:cols>
          <w:pgMar w:left="240" w:top="125" w:right="239" w:bottom="0" w:gutter="0" w:footer="0" w:header="0"/>
        </w:sectPr>
      </w:pPr>
    </w:p>
    <w:bookmarkStart w:id="28" w:name="page29"/>
    <w:bookmarkEnd w:id="28"/>
    <w:p>
      <w:pPr>
        <w:spacing w:after="0" w:line="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content library,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 and operating results.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6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have registered “Shutterstock,” “Bigstock”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term Shutterstock or our other trademarks. Any claims or customer confusion related to our trademarks could damage our reputation and brand and substantially harm our business and operating results.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8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 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9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 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which could cause our results to fall short of expectations and our stock price to decline.</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ectPr>
          <w:pgSz w:w="11900" w:h="16866" w:orient="portrait"/>
          <w:cols w:equalWidth="0" w:num="1">
            <w:col w:w="11400"/>
          </w:cols>
          <w:pgMar w:left="240" w:top="125" w:right="259" w:bottom="0" w:gutter="0" w:footer="0" w:header="0"/>
        </w:sectPr>
      </w:pPr>
    </w:p>
    <w:bookmarkStart w:id="29" w:name="page30"/>
    <w:bookmarkEnd w:id="29"/>
    <w:p>
      <w:pPr>
        <w:spacing w:after="0" w:line="39" w:lineRule="exact"/>
        <w:rPr>
          <w:sz w:val="20"/>
          <w:szCs w:val="20"/>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current customers and to attract new customers and contributors;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new and relevant imagery to our customers;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or our competitors;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5620" w:right="1140" w:hanging="5252"/>
        <w:spacing w:after="0" w:line="528"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in service, whether or not we are responsible for such interruptions, and any related impact on our reputation and brand;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defending any litigation or other claims, including those related to our indemnification of our customers;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pursue, and the timing of, entry into new geographies or markets and, if pursued, our management of this expansion;</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general economic conditions on our revenue and expenses;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 affecting our business;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potential acquisitions of technology or businesses.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 security breach could result in payment networks prohibiting us from processing transactions on their networks. Security and fraud-related issues are likely to become more challenging as we expand our operations.</w:t>
      </w:r>
    </w:p>
    <w:p>
      <w:pPr>
        <w:spacing w:after="0" w:line="17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 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adoption, modification or interpretation of laws or regulations relating to the internet or other areas of our business could adversely affect the manner in which we conduct our business or the overall popularity or growth in use of the internet. Such laws and regulations may cover automatic contract or subscription renewal, credit card processing procedures, sales and other procedures, tariffs, user privacy, data protection, pricing, content, copyrights, distribution, electronic contracts, consumer protection, broadband residential internet access and the characteristics and quality of services. In certain</w:t>
      </w:r>
    </w:p>
    <w:p>
      <w:pPr>
        <w:sectPr>
          <w:pgSz w:w="11900" w:h="16877" w:orient="portrait"/>
          <w:cols w:equalWidth="0" w:num="1">
            <w:col w:w="11400"/>
          </w:cols>
          <w:pgMar w:left="240" w:top="341" w:right="259" w:bottom="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countries, such as those in Europe, such laws may be more restrictive than in the United States. It is not clear how existing laws governing issues such as property ownership, sales and other taxes, and personal privacy apply to the internet and ecommerce as the vast majority of these laws were adopted prior to the advent of the internet and do not contemplate or address the unique issues raised by the internet or ecommerce. Those laws that do reference the internet are only beginning to be interpreted by the courts and their applicability and reach are therefore uncertain. For example, the Children’s Online Privacy Protection Act imposes additional restrictions on the ability of online services to collect user information from minors. If we are required to comply with new regulations or legislation or new interpretations of existing regulations or legislation, this compliance could cause us to incur additional expenses, make it more difficult to renew subscriptions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automatically, make it more difficult to attract new subscribers or otherwise alter our business model. Any of these outcomes could have a material adverse effect on our business, financial condition or results of operations.</w:t>
      </w:r>
    </w:p>
    <w:p>
      <w:pPr>
        <w:spacing w:after="0" w:line="170" w:lineRule="exact"/>
        <w:rPr>
          <w:sz w:val="20"/>
          <w:szCs w:val="20"/>
          <w:color w:val="auto"/>
        </w:rPr>
      </w:pPr>
    </w:p>
    <w:p>
      <w:pPr>
        <w:ind w:right="40" w:firstLine="450"/>
        <w:spacing w:after="0" w:line="286" w:lineRule="auto"/>
        <w:rPr>
          <w:sz w:val="20"/>
          <w:szCs w:val="20"/>
          <w:color w:val="auto"/>
        </w:rPr>
      </w:pPr>
      <w:r>
        <w:rPr>
          <w:rFonts w:ascii="Arial" w:cs="Arial" w:eastAsia="Arial" w:hAnsi="Arial"/>
          <w:sz w:val="17"/>
          <w:szCs w:val="17"/>
          <w:color w:val="auto"/>
        </w:rPr>
        <w:t>We currently operate in more than 150 countries. The privacy, data protection, censorship and liability standards and regulations, and different intellectual property laws that apply in each of those foreign countries, may be different than those that apply to companies operating solely within the United States. To the extent that we are not in compliance with applicable local laws and regulations, our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operations into additional content categories may subject us to additional business, legal, financial and competitive risks.</w:t>
      </w:r>
    </w:p>
    <w:p>
      <w:pPr>
        <w:spacing w:after="0" w:line="23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impact of worldwide economic conditions, including effects on advertising and marketing budgets, may adversely affect our business and operating results.</w:t>
      </w:r>
    </w:p>
    <w:p>
      <w:pPr>
        <w:spacing w:after="0" w:line="170"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contains operating and financial covenants that may restrict our business and financing activities.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are party to a loan and security agreement relating to our term loan facility with Silicon Valley Bank. The term loan made under this loan and</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security agreement is secured by substantially all of our assets, not including our intellectual property. Our loan and security agreement restricts our ability to:</w:t>
      </w:r>
    </w:p>
    <w:p>
      <w:pPr>
        <w:spacing w:after="0" w:line="234" w:lineRule="exact"/>
        <w:rPr>
          <w:sz w:val="20"/>
          <w:szCs w:val="20"/>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 other than in certain specified cases;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subordinated indebtedness, other than under certain specified conditions;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our assets, other than in certain specified cases;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 other than ordinary course, arm’s length transactions;</w:t>
      </w:r>
    </w:p>
    <w:p>
      <w:pPr>
        <w:spacing w:after="0" w:line="225" w:lineRule="exact"/>
        <w:rPr>
          <w:rFonts w:ascii="Arial" w:cs="Arial" w:eastAsia="Arial" w:hAnsi="Arial"/>
          <w:sz w:val="18"/>
          <w:szCs w:val="18"/>
          <w:color w:val="auto"/>
        </w:rPr>
      </w:pPr>
    </w:p>
    <w:p>
      <w:pPr>
        <w:ind w:left="780" w:right="200" w:hanging="318"/>
        <w:spacing w:after="0" w:line="277" w:lineRule="auto"/>
        <w:tabs>
          <w:tab w:leader="none" w:pos="7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 or distributions, other than in certain specified cases (including the distribution paid to our members prior to completion of our initial public offering);</w:t>
      </w:r>
    </w:p>
    <w:p>
      <w:pPr>
        <w:spacing w:after="0" w:line="170"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assets, other than in certain specified cases;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225" w:lineRule="exact"/>
        <w:rPr>
          <w:rFonts w:ascii="Arial" w:cs="Arial" w:eastAsia="Arial" w:hAnsi="Arial"/>
          <w:sz w:val="18"/>
          <w:szCs w:val="18"/>
          <w:color w:val="auto"/>
        </w:rPr>
      </w:pPr>
    </w:p>
    <w:p>
      <w:pPr>
        <w:ind w:left="780" w:right="20" w:hanging="318"/>
        <w:spacing w:after="0" w:line="277" w:lineRule="auto"/>
        <w:tabs>
          <w:tab w:leader="none" w:pos="7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other than dividends paid solely in shares of our common stock, or make distributions on and, in certain cases, repurchase our stock; or</w:t>
      </w:r>
    </w:p>
    <w:p>
      <w:pPr>
        <w:spacing w:after="0" w:line="170" w:lineRule="exact"/>
        <w:rPr>
          <w:rFonts w:ascii="Arial" w:cs="Arial" w:eastAsia="Arial" w:hAnsi="Arial"/>
          <w:sz w:val="18"/>
          <w:szCs w:val="18"/>
          <w:color w:val="auto"/>
        </w:rPr>
      </w:pPr>
    </w:p>
    <w:p>
      <w:pPr>
        <w:ind w:left="740" w:hanging="27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or merge with other entities, other than the contemplated Reorganization.</w:t>
      </w:r>
    </w:p>
    <w:p>
      <w:pPr>
        <w:spacing w:after="0" w:line="225" w:lineRule="exact"/>
        <w:rPr>
          <w:sz w:val="20"/>
          <w:szCs w:val="20"/>
          <w:color w:val="auto"/>
        </w:rPr>
      </w:pPr>
    </w:p>
    <w:p>
      <w:pPr>
        <w:ind w:right="60" w:firstLine="450"/>
        <w:spacing w:after="0" w:line="273" w:lineRule="auto"/>
        <w:rPr>
          <w:sz w:val="20"/>
          <w:szCs w:val="20"/>
          <w:color w:val="auto"/>
        </w:rPr>
      </w:pPr>
      <w:r>
        <w:rPr>
          <w:rFonts w:ascii="Arial" w:cs="Arial" w:eastAsia="Arial" w:hAnsi="Arial"/>
          <w:sz w:val="17"/>
          <w:szCs w:val="17"/>
          <w:color w:val="auto"/>
        </w:rPr>
        <w:t>In addition, the loan and security agreement provides that we satisfy certain financial covenants including minimum earnings and liquidity requirements. The operating and financial restrictions and covenants in the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both facilities to become immediately due and payable and terminate all commitments to extend further credit.</w:t>
      </w:r>
    </w:p>
    <w:p>
      <w:pPr>
        <w:spacing w:after="0" w:line="178"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If we are unable to generate sufficient cash available to repay our debt obligations when they become due and payable, either when they mature or in the event of a default, we may not be able to obtain additional debt or equity financing on favorable terms, if at all, which may negatively affect our ability to continue as a going concern.</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81"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Several members of our senior management team joined us in 2010 and 2011. These individuals are currently becoming integrated with the rest of our team. We believe the successful integration of our management team is critical to managing our operations effectively and to supporting our growth.</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248"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our business could be adversely impacted.</w:t>
      </w:r>
    </w:p>
    <w:p>
      <w:pPr>
        <w:spacing w:after="0" w:line="225"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73" w:lineRule="exact"/>
        <w:rPr>
          <w:sz w:val="20"/>
          <w:szCs w:val="20"/>
          <w:color w:val="auto"/>
        </w:rPr>
      </w:pPr>
    </w:p>
    <w:p>
      <w:pPr>
        <w:ind w:right="40" w:firstLine="450"/>
        <w:spacing w:after="0" w:line="273" w:lineRule="auto"/>
        <w:rPr>
          <w:sz w:val="20"/>
          <w:szCs w:val="20"/>
          <w:color w:val="auto"/>
        </w:rPr>
      </w:pPr>
      <w:r>
        <w:rPr>
          <w:rFonts w:ascii="Arial" w:cs="Arial" w:eastAsia="Arial" w:hAnsi="Arial"/>
          <w:sz w:val="17"/>
          <w:szCs w:val="17"/>
          <w:color w:val="auto"/>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in the future and may be unable to do so on acceptable terms or at all.</w:t>
      </w:r>
    </w:p>
    <w:p>
      <w:pPr>
        <w:spacing w:after="0" w:line="225" w:lineRule="exact"/>
        <w:rPr>
          <w:sz w:val="20"/>
          <w:szCs w:val="20"/>
          <w:color w:val="auto"/>
        </w:rPr>
      </w:pPr>
    </w:p>
    <w:p>
      <w:pPr>
        <w:ind w:right="20" w:firstLine="450"/>
        <w:spacing w:after="0" w:line="289"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adversely affect our results.</w:t>
      </w:r>
    </w:p>
    <w:p>
      <w:pPr>
        <w:sectPr>
          <w:pgSz w:w="11900" w:h="16838" w:orient="portrait"/>
          <w:cols w:equalWidth="0" w:num="1">
            <w:col w:w="11420"/>
          </w:cols>
          <w:pgMar w:left="240" w:top="368" w:right="239" w:bottom="0" w:gutter="0" w:footer="0" w:header="0"/>
        </w:sectPr>
      </w:pPr>
    </w:p>
    <w:bookmarkStart w:id="32" w:name="page33"/>
    <w:bookmarkEnd w:id="32"/>
    <w:p>
      <w:pPr>
        <w:ind w:right="40" w:firstLine="450"/>
        <w:spacing w:after="0" w:line="273" w:lineRule="auto"/>
        <w:rPr>
          <w:sz w:val="20"/>
          <w:szCs w:val="20"/>
          <w:color w:val="auto"/>
        </w:rPr>
      </w:pPr>
      <w:r>
        <w:rPr>
          <w:rFonts w:ascii="Arial" w:cs="Arial" w:eastAsia="Arial" w:hAnsi="Arial"/>
          <w:sz w:val="17"/>
          <w:szCs w:val="17"/>
          <w:color w:val="auto"/>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transactions will result in decreased revenue, operating expenses and net income. As exchange rates vary, sales and other operating results, when translated, may differ materially from expectations.</w:t>
      </w:r>
    </w:p>
    <w:p>
      <w:pPr>
        <w:spacing w:after="0" w:line="178" w:lineRule="exact"/>
        <w:rPr>
          <w:sz w:val="20"/>
          <w:szCs w:val="20"/>
          <w:color w:val="auto"/>
        </w:rPr>
      </w:pPr>
    </w:p>
    <w:p>
      <w:pPr>
        <w:ind w:right="140" w:firstLine="450"/>
        <w:spacing w:after="0" w:line="286" w:lineRule="auto"/>
        <w:rPr>
          <w:sz w:val="20"/>
          <w:szCs w:val="20"/>
          <w:color w:val="auto"/>
        </w:rPr>
      </w:pPr>
      <w:r>
        <w:rPr>
          <w:rFonts w:ascii="Arial" w:cs="Arial" w:eastAsia="Arial" w:hAnsi="Arial"/>
          <w:sz w:val="17"/>
          <w:szCs w:val="17"/>
          <w:color w:val="auto"/>
        </w:rPr>
        <w:t>We have foreign currency risks related to foreign-currency denominated revenues. All amounts owed and paid to our foreign contributors are denominated and paid in U.S. Dollars. In general, we are a net receiver of currencies other than the U.S. Dollar. Accordingly, changes in exchange rates, and in particular a strengthening of the U.S. Dollar, will negatively affect our revenue and other operating results as expressed in U.S. Dollars.</w:t>
      </w:r>
    </w:p>
    <w:p>
      <w:pPr>
        <w:spacing w:after="0" w:line="166" w:lineRule="exact"/>
        <w:rPr>
          <w:sz w:val="20"/>
          <w:szCs w:val="20"/>
          <w:color w:val="auto"/>
        </w:rPr>
      </w:pPr>
    </w:p>
    <w:p>
      <w:pPr>
        <w:jc w:val="both"/>
        <w:ind w:right="40" w:firstLine="450"/>
        <w:spacing w:after="0" w:line="259" w:lineRule="auto"/>
        <w:rPr>
          <w:sz w:val="20"/>
          <w:szCs w:val="20"/>
          <w:color w:val="auto"/>
        </w:rPr>
      </w:pPr>
      <w:r>
        <w:rPr>
          <w:rFonts w:ascii="Arial" w:cs="Arial" w:eastAsia="Arial" w:hAnsi="Arial"/>
          <w:sz w:val="18"/>
          <w:szCs w:val="18"/>
          <w:color w:val="auto"/>
        </w:rPr>
        <w:t>Because we have determined our functional currency to be the U.S. Dollar, we have not experienced material fluctuations in our net income as a result of translation gains or losses. During 2009, 2010 and 2011,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ind w:right="140" w:firstLine="468"/>
        <w:spacing w:after="0" w:line="255" w:lineRule="auto"/>
        <w:rPr>
          <w:sz w:val="20"/>
          <w:szCs w:val="20"/>
          <w:color w:val="auto"/>
        </w:rPr>
      </w:pPr>
      <w:r>
        <w:rPr>
          <w:rFonts w:ascii="Arial" w:cs="Arial" w:eastAsia="Arial" w:hAnsi="Arial"/>
          <w:sz w:val="18"/>
          <w:szCs w:val="18"/>
          <w:color w:val="auto"/>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customers who historically have used traditional means of commerce to purchase goods and services. If these target customers prove to be less active than our earlier customers our business could be adversely impacted.</w:t>
      </w:r>
    </w:p>
    <w:p>
      <w:pPr>
        <w:spacing w:after="0" w:line="193" w:lineRule="exact"/>
        <w:rPr>
          <w:sz w:val="20"/>
          <w:szCs w:val="20"/>
          <w:color w:val="auto"/>
        </w:rPr>
      </w:pPr>
    </w:p>
    <w:p>
      <w:pPr>
        <w:ind w:right="220" w:firstLine="450"/>
        <w:spacing w:after="0" w:line="259" w:lineRule="auto"/>
        <w:rPr>
          <w:sz w:val="20"/>
          <w:szCs w:val="20"/>
          <w:color w:val="auto"/>
        </w:rPr>
      </w:pPr>
      <w:r>
        <w:rPr>
          <w:rFonts w:ascii="Arial" w:cs="Arial" w:eastAsia="Arial" w:hAnsi="Arial"/>
          <w:sz w:val="18"/>
          <w:szCs w:val="18"/>
          <w:color w:val="auto"/>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ind w:right="120" w:firstLine="468"/>
        <w:spacing w:after="0" w:line="271" w:lineRule="auto"/>
        <w:rPr>
          <w:sz w:val="20"/>
          <w:szCs w:val="20"/>
          <w:color w:val="auto"/>
        </w:rPr>
      </w:pPr>
      <w:r>
        <w:rPr>
          <w:rFonts w:ascii="Arial" w:cs="Arial" w:eastAsia="Arial" w:hAnsi="Arial"/>
          <w:sz w:val="17"/>
          <w:szCs w:val="17"/>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ind w:right="420" w:firstLine="454"/>
        <w:spacing w:after="0" w:line="277" w:lineRule="auto"/>
        <w:rPr>
          <w:sz w:val="20"/>
          <w:szCs w:val="20"/>
          <w:color w:val="auto"/>
        </w:rPr>
      </w:pPr>
      <w:r>
        <w:rPr>
          <w:rFonts w:ascii="Arial" w:cs="Arial" w:eastAsia="Arial" w:hAnsi="Arial"/>
          <w:sz w:val="18"/>
          <w:szCs w:val="18"/>
          <w:color w:val="auto"/>
        </w:rPr>
        <w:t>The market price of our common stock could be subject to wide fluctuations in response to many risk factors listed in this section, both within and outside of our control, including, but not limited to, the following:</w:t>
      </w:r>
    </w:p>
    <w:p>
      <w:pPr>
        <w:spacing w:after="0" w:line="170" w:lineRule="exact"/>
        <w:rPr>
          <w:sz w:val="20"/>
          <w:szCs w:val="20"/>
          <w:color w:val="auto"/>
        </w:rPr>
      </w:pPr>
    </w:p>
    <w:p>
      <w:pPr>
        <w:ind w:left="740" w:hanging="27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actual performance;</w:t>
      </w:r>
    </w:p>
    <w:p>
      <w:pPr>
        <w:sectPr>
          <w:pgSz w:w="11900" w:h="16838" w:orient="portrait"/>
          <w:cols w:equalWidth="0" w:num="1">
            <w:col w:w="11420"/>
          </w:cols>
          <w:pgMar w:left="240" w:top="125" w:right="239" w:bottom="0" w:gutter="0" w:footer="0" w:header="0"/>
        </w:sectPr>
      </w:pPr>
    </w:p>
    <w:bookmarkStart w:id="33" w:name="page34"/>
    <w:bookmarkEnd w:id="33"/>
    <w:p>
      <w:pPr>
        <w:spacing w:after="0" w:line="20" w:lineRule="exact"/>
        <w:rPr>
          <w:sz w:val="20"/>
          <w:szCs w:val="20"/>
          <w:color w:val="auto"/>
        </w:rPr>
      </w:pPr>
    </w:p>
    <w:p>
      <w:pPr>
        <w:ind w:left="740" w:hanging="27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 and</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such sales could occur, could adversely affect the market price of our common stock and may make it more difficult for you to sell your common stock at a time and price that you deem appropriate.</w:t>
      </w:r>
    </w:p>
    <w:p>
      <w:pPr>
        <w:spacing w:after="0" w:line="12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As of November 16, 2012, we had 33,513,281 shares of common stock, of which 28,338,281 are subject to restrictions on resale as a result of securities laws, lock-up agreements or other contractual restrictions that restrict transfers for at least 180 days after October 10, 2012 the date of our final prospectus filed with the SEC pursuant to Rule 424(b), subject to certain extensions. Immediately after the lock-up termination date of April 9, 2013 with respect to our initial public offering, all shares of our common stock will be freely transferable without restriction or registration under the Securities Act of 1933, as amended, except for shares held by our “affiliates,” which remain subject to the restrictions in Rule 144 under the Securities Act, and except for shares of restricted stock held by Mr. Semmelbauer.</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Morgan Stanley &amp; Co. LLC and Deutsche Bank Securities Inc. may, at their discretion, release all or some portion of the shares subject to lock-up agreements prior to expiration of the lock-up period.</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holders of 28,338,281 shares of common stock are entitled to rights with respect to registration of these shares under the Securities Act pursuant to a registration rights agreement. We filed a registration statement on Form S-8 under the Securities Act covering all of the shares of common stock subject to outstanding VAR grants, as well as options and shares reserved for future issuance, under our 2012 Omnibus Equity Incentive Plan and our 2012 Employee Stock Purchase Plan. Once we register these shares, they can be freely sold in the public market upon issuance and vesting, subject to the lock-up agreements contained in the terms of the award agreements delivered under such plans, or unless they are held by “affiliates”, as that term is defined in Rule 144 of the Securities Act.</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8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Jonathan Oringer, our founder, and other significant investors control approximately 75.9% of our outstanding shares of common stock, and this concentration of ownership may have an effect on transactions that are otherwise favorable to our shareholders.</w:t>
      </w:r>
    </w:p>
    <w:p>
      <w:pPr>
        <w:spacing w:after="0" w:line="14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of November 16, 2012, Jonathan Oringer, our founder and largest stockholder, beneficially owns approximately 55.2% of our outstanding shares of common stock. In addition, certain funds affiliated with Insight Venture Partners, or Insight, beneficially own approximately 20.7% of our outstanding shares of common stock. As a result, Mr. Oringer and Insight collectively control the outcome of matters submitted to our stockholders for approval, including the election of directors. This concentration of ownership may also delay, deter or prevent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change in control, and may make some transactions more difficult or impossible to complete without the support of these shareholders, regardless of the impact of this transaction on our other shareholders.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and our management will face increased demands as a result of operating as a public company.</w:t>
      </w:r>
    </w:p>
    <w:p>
      <w:pPr>
        <w:spacing w:after="0" w:line="170" w:lineRule="exact"/>
        <w:rPr>
          <w:sz w:val="20"/>
          <w:szCs w:val="20"/>
          <w:color w:val="auto"/>
        </w:rPr>
      </w:pPr>
    </w:p>
    <w:p>
      <w:pPr>
        <w:ind w:right="80" w:firstLine="450"/>
        <w:spacing w:after="0" w:line="259" w:lineRule="auto"/>
        <w:rPr>
          <w:sz w:val="20"/>
          <w:szCs w:val="20"/>
          <w:color w:val="auto"/>
        </w:rPr>
      </w:pPr>
      <w:r>
        <w:rPr>
          <w:rFonts w:ascii="Arial" w:cs="Arial" w:eastAsia="Arial" w:hAnsi="Arial"/>
          <w:sz w:val="18"/>
          <w:szCs w:val="18"/>
          <w:color w:val="auto"/>
        </w:rPr>
        <w:t>We have incurred and will continue to incur significant legal, accounting and other expenses as a result of becoming a public company. In addition, our administrative staff has performed and will continue to be required to perform additional tasks. For example, as a public company, we will need to adopt additional internal controls and disclosure controls and procedures and bear all of the internal and external costs of preparing and distributing periodic public reports in compliance with our obligations under applicable securities laws.</w:t>
      </w:r>
    </w:p>
    <w:p>
      <w:pPr>
        <w:spacing w:after="0" w:line="187"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including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will continue to incur substantially higher costs to obtain directors’ and officers’ insurance</w:t>
      </w:r>
    </w:p>
    <w:p>
      <w:pPr>
        <w:sectPr>
          <w:pgSz w:w="11900" w:h="16859" w:orient="portrait"/>
          <w:cols w:equalWidth="0" w:num="1">
            <w:col w:w="11420"/>
          </w:cols>
          <w:pgMar w:left="240" w:top="341" w:right="239" w:bottom="0" w:gutter="0" w:footer="0" w:header="0"/>
        </w:sectPr>
      </w:pPr>
    </w:p>
    <w:bookmarkStart w:id="34" w:name="page35"/>
    <w:bookmarkEnd w:id="34"/>
    <w:p>
      <w:pPr>
        <w:ind w:right="560"/>
        <w:spacing w:after="0" w:line="308" w:lineRule="auto"/>
        <w:rPr>
          <w:sz w:val="20"/>
          <w:szCs w:val="20"/>
          <w:color w:val="auto"/>
        </w:rPr>
      </w:pPr>
      <w:r>
        <w:rPr>
          <w:rFonts w:ascii="Arial" w:cs="Arial" w:eastAsia="Arial" w:hAnsi="Arial"/>
          <w:sz w:val="17"/>
          <w:szCs w:val="17"/>
          <w:color w:val="auto"/>
        </w:rPr>
        <w:t>as a result of becoming a public company.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47" w:lineRule="exact"/>
        <w:rPr>
          <w:sz w:val="20"/>
          <w:szCs w:val="20"/>
          <w:color w:val="auto"/>
        </w:rPr>
      </w:pPr>
    </w:p>
    <w:p>
      <w:pPr>
        <w:ind w:right="160" w:firstLine="468"/>
        <w:spacing w:after="0" w:line="259" w:lineRule="auto"/>
        <w:rPr>
          <w:sz w:val="20"/>
          <w:szCs w:val="20"/>
          <w:color w:val="auto"/>
        </w:rPr>
      </w:pPr>
      <w:r>
        <w:rPr>
          <w:rFonts w:ascii="Arial" w:cs="Arial" w:eastAsia="Arial" w:hAnsi="Arial"/>
          <w:sz w:val="18"/>
          <w:szCs w:val="18"/>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81"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color w:val="auto"/>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w:t>
      </w:r>
    </w:p>
    <w:p>
      <w:pPr>
        <w:spacing w:after="0" w:line="18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reporting obligations. If we discover a material weakness, the disclosure of that fact, even if quickly remedied, could reduce the market’s confidence in our financial statements and harm our stock price.</w:t>
      </w:r>
    </w:p>
    <w:p>
      <w:pPr>
        <w:spacing w:after="0" w:line="170" w:lineRule="exact"/>
        <w:rPr>
          <w:sz w:val="20"/>
          <w:szCs w:val="20"/>
          <w:color w:val="auto"/>
        </w:rPr>
      </w:pPr>
    </w:p>
    <w:p>
      <w:pPr>
        <w:ind w:right="200" w:firstLine="450"/>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60" w:firstLine="450"/>
        <w:spacing w:after="0" w:line="342" w:lineRule="auto"/>
        <w:rPr>
          <w:sz w:val="20"/>
          <w:szCs w:val="20"/>
          <w:color w:val="auto"/>
        </w:rPr>
      </w:pPr>
      <w:r>
        <w:rPr>
          <w:rFonts w:ascii="Arial" w:cs="Arial" w:eastAsia="Arial" w:hAnsi="Arial"/>
          <w:sz w:val="16"/>
          <w:szCs w:val="16"/>
          <w:color w:val="auto"/>
        </w:rPr>
        <w:t>Our amended and restated certificate of incorporation and bylaws contain provisions that could have the effect of rendering more difficult or discouraging an acquisition deemed undesirable by our board of directors. Our corporate governance documents include provisions that:</w:t>
      </w:r>
    </w:p>
    <w:p>
      <w:pPr>
        <w:spacing w:after="0" w:line="124" w:lineRule="exact"/>
        <w:rPr>
          <w:sz w:val="20"/>
          <w:szCs w:val="20"/>
          <w:color w:val="auto"/>
        </w:rPr>
      </w:pPr>
    </w:p>
    <w:p>
      <w:pPr>
        <w:ind w:left="740" w:hanging="27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blank check preferred stock, which could be issued with voting, liquidation, dividend and other rights superior to our common stock;</w:t>
      </w:r>
    </w:p>
    <w:p>
      <w:pPr>
        <w:spacing w:after="0" w:line="236" w:lineRule="exact"/>
        <w:rPr>
          <w:rFonts w:ascii="Arial" w:cs="Arial" w:eastAsia="Arial" w:hAnsi="Arial"/>
          <w:sz w:val="17"/>
          <w:szCs w:val="17"/>
          <w:color w:val="auto"/>
        </w:rPr>
      </w:pPr>
    </w:p>
    <w:p>
      <w:pPr>
        <w:ind w:left="740" w:hanging="27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25" w:lineRule="exact"/>
        <w:rPr>
          <w:rFonts w:ascii="Arial" w:cs="Arial" w:eastAsia="Arial" w:hAnsi="Arial"/>
          <w:sz w:val="18"/>
          <w:szCs w:val="18"/>
          <w:color w:val="auto"/>
        </w:rPr>
      </w:pPr>
    </w:p>
    <w:p>
      <w:pPr>
        <w:ind w:left="740" w:hanging="27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auto"/>
        </w:rPr>
      </w:pPr>
    </w:p>
    <w:p>
      <w:pPr>
        <w:ind w:left="740" w:hanging="27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advance notice of stockholder proposals and the nomination of candidates for election to our board of directors;</w:t>
      </w:r>
    </w:p>
    <w:p>
      <w:pPr>
        <w:spacing w:after="0" w:line="225" w:lineRule="exact"/>
        <w:rPr>
          <w:rFonts w:ascii="Arial" w:cs="Arial" w:eastAsia="Arial" w:hAnsi="Arial"/>
          <w:sz w:val="18"/>
          <w:szCs w:val="18"/>
          <w:color w:val="auto"/>
        </w:rPr>
      </w:pPr>
    </w:p>
    <w:p>
      <w:pPr>
        <w:ind w:left="780" w:right="160" w:hanging="318"/>
        <w:spacing w:after="0" w:line="277" w:lineRule="auto"/>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70" w:lineRule="exact"/>
        <w:rPr>
          <w:rFonts w:ascii="Arial" w:cs="Arial" w:eastAsia="Arial" w:hAnsi="Arial"/>
          <w:sz w:val="18"/>
          <w:szCs w:val="18"/>
          <w:color w:val="auto"/>
        </w:rPr>
      </w:pPr>
    </w:p>
    <w:p>
      <w:pPr>
        <w:ind w:left="740" w:hanging="27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w:t>
      </w:r>
    </w:p>
    <w:p>
      <w:pPr>
        <w:spacing w:after="0" w:line="225" w:lineRule="exact"/>
        <w:rPr>
          <w:rFonts w:ascii="Arial" w:cs="Arial" w:eastAsia="Arial" w:hAnsi="Arial"/>
          <w:sz w:val="18"/>
          <w:szCs w:val="18"/>
          <w:color w:val="auto"/>
        </w:rPr>
      </w:pPr>
    </w:p>
    <w:p>
      <w:pPr>
        <w:ind w:left="780" w:right="440" w:hanging="318"/>
        <w:spacing w:after="0" w:line="277" w:lineRule="auto"/>
        <w:tabs>
          <w:tab w:leader="none" w:pos="7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the determination of the number of directors on our board and the filling of vacancies or newly created seats on the board to our board of directors then in office.</w:t>
      </w:r>
    </w:p>
    <w:p>
      <w:pPr>
        <w:sectPr>
          <w:pgSz w:w="11900" w:h="16838" w:orient="portrait"/>
          <w:cols w:equalWidth="0" w:num="1">
            <w:col w:w="11420"/>
          </w:cols>
          <w:pgMar w:left="240" w:top="125" w:right="239" w:bottom="0" w:gutter="0" w:footer="0" w:header="0"/>
        </w:sectPr>
      </w:pPr>
    </w:p>
    <w:bookmarkStart w:id="35" w:name="page36"/>
    <w:bookmarkEnd w:id="35"/>
    <w:p>
      <w:pPr>
        <w:ind w:right="40" w:firstLine="450"/>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81"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ind w:right="40" w:firstLine="468"/>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ind w:right="100" w:firstLine="450"/>
        <w:spacing w:after="0" w:line="264"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60" w:firstLine="401"/>
        <w:spacing w:after="0" w:line="277" w:lineRule="auto"/>
        <w:rPr>
          <w:sz w:val="20"/>
          <w:szCs w:val="20"/>
          <w:color w:val="auto"/>
        </w:rPr>
      </w:pPr>
      <w:r>
        <w:rPr>
          <w:rFonts w:ascii="Arial" w:cs="Arial" w:eastAsia="Arial" w:hAnsi="Arial"/>
          <w:sz w:val="18"/>
          <w:szCs w:val="18"/>
          <w:i w:val="1"/>
          <w:iCs w:val="1"/>
          <w:color w:val="auto"/>
        </w:rPr>
        <w:t>For more information about unregistered sales of equity securities and use of proceeds, please refer to our final prospectus filed with the SEC pursuant to Rule 424(b) on October 11,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25" w:lineRule="exact"/>
        <w:rPr>
          <w:sz w:val="20"/>
          <w:szCs w:val="20"/>
          <w:color w:val="auto"/>
        </w:rPr>
      </w:pPr>
    </w:p>
    <w:p>
      <w:pPr>
        <w:ind w:right="40" w:firstLine="401"/>
        <w:spacing w:after="0" w:line="290" w:lineRule="auto"/>
        <w:rPr>
          <w:sz w:val="20"/>
          <w:szCs w:val="20"/>
          <w:color w:val="auto"/>
        </w:rPr>
      </w:pPr>
      <w:r>
        <w:rPr>
          <w:rFonts w:ascii="Arial" w:cs="Arial" w:eastAsia="Arial" w:hAnsi="Arial"/>
          <w:sz w:val="16"/>
          <w:szCs w:val="16"/>
          <w:color w:val="auto"/>
        </w:rPr>
        <w:t>On October 5, 2012, we reorganized from Shutterstock Images LLC, a New York limited liability company, or the LLC, to Shutterstock, Inc., a Delaware corporation, by way of a merger of the LLC with and into Shutterstock, Inc. In this “Reorganization,” the membership interests in the LLC, including any interests that vested upon the Reorganization, were exchanged for an aggregate of 28,338,281 shares of our common stock. No additional consideration was paid for such shares. The issuance of shares of our common stock pursuant to the Reorganization was deemed to be exempt from registration under the Securities Act in reliance upon Section 4(2) of the Securities Act as a transaction by an issuer not involving a public offering. The recipients of common stock issued pursuant to the Reorganization are subject to restrictions on resale as a result of securities laws, lock-up agreements or other contractual restrictions that restrict transfers for at least 180 days after October 10, 2012, the date of our final prospectus filed with the SEC pursuant to Rule 424(b), subject to certain extensions. All recipients had adequate access, through their relationships with us or otherwise, to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Proceeds from Initial Public Offering of Common Stock</w:t>
      </w:r>
    </w:p>
    <w:p>
      <w:pPr>
        <w:spacing w:after="0" w:line="225"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On October 16, 2012, we closed our IPO, in which we sold 5,175,000 shares of common stock at a price to the public of $17.00 per share. The aggregate offering price for shares sold in the offering was approximately $88.0 million. The offer and sale of all of the shares in the IPO were registered under the Securities Act of 1933, as amended, pursuant to a registration statement on Form S-1 (File No. 333-181376), which was declared effective by the SEC on October 10, 2012. The offering commenced as of October 10, 2012 and did not terminate before all of the securities registered in the registration statement were sold. Morgan Stanley &amp; Co. LLC, Deutsche Bank Securities Inc., Jefferies &amp; Company, Inc., RBC Capital Markets, LLC, Stifel, Nicolaus &amp; Company, Incorporated and William Blair &amp; Company, L.L.C. acted as the underwriters. We raised approximately $81.8 million in net proceeds after deducting underwriting discounts and commissions of approximately $6.2 million, and before deducting total estimated expenses in connection with the offering of $4.4 million. No payments were made by us to directors, officers or persons owning ten percent or more of our common stock or to their associates, or to our affiliates, other than payments in the ordinary course of business to officers for salaries. We invested the funds received in registered money market funds. There has been no material change in the planned use of proceeds from the Company’s IPO from that described in the final prospectus filed with the SEC pursuant to Rule 424(b) on October 11, 2012.</w:t>
      </w:r>
    </w:p>
    <w:p>
      <w:pPr>
        <w:spacing w:after="0" w:line="179"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ectPr>
          <w:pgSz w:w="11900" w:h="16838" w:orient="portrait"/>
          <w:cols w:equalWidth="0" w:num="1">
            <w:col w:w="11360"/>
          </w:cols>
          <w:pgMar w:left="240" w:top="125" w:right="299" w:bottom="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740" w:type="dxa"/>
            <w:vAlign w:val="bottom"/>
            <w:gridSpan w:val="8"/>
          </w:tcPr>
          <w:p>
            <w:pPr>
              <w:ind w:left="20"/>
              <w:spacing w:after="0"/>
              <w:rPr>
                <w:sz w:val="20"/>
                <w:szCs w:val="20"/>
                <w:color w:val="auto"/>
              </w:rPr>
            </w:pPr>
            <w:r>
              <w:rPr>
                <w:rFonts w:ascii="Arial" w:cs="Arial" w:eastAsia="Arial" w:hAnsi="Arial"/>
                <w:sz w:val="18"/>
                <w:szCs w:val="18"/>
                <w:b w:val="1"/>
                <w:bCs w:val="1"/>
                <w:color w:val="auto"/>
              </w:rPr>
              <w:t>SHUTTERSTOCK, INC.</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color w:val="auto"/>
              </w:rPr>
              <w:t>Dated: November 20, 2012</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Jonathan Oringer</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spacing w:after="0" w:line="195" w:lineRule="exact"/>
              <w:rPr>
                <w:sz w:val="20"/>
                <w:szCs w:val="20"/>
                <w:color w:val="auto"/>
              </w:rPr>
            </w:pPr>
            <w:r>
              <w:rPr>
                <w:rFonts w:ascii="Arial" w:cs="Arial" w:eastAsia="Arial" w:hAnsi="Arial"/>
                <w:sz w:val="18"/>
                <w:szCs w:val="18"/>
                <w:color w:val="auto"/>
              </w:rPr>
              <w:t>Jonathan Oringer</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i w:val="1"/>
                <w:iCs w:val="1"/>
                <w:color w:val="auto"/>
              </w:rPr>
              <w:t>Chief Executive Officer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4"/>
          </w:tcPr>
          <w:p>
            <w:pPr>
              <w:spacing w:after="0"/>
              <w:rPr>
                <w:sz w:val="20"/>
                <w:szCs w:val="20"/>
                <w:color w:val="auto"/>
              </w:rPr>
            </w:pPr>
            <w:r>
              <w:rPr>
                <w:rFonts w:ascii="Arial" w:cs="Arial" w:eastAsia="Arial" w:hAnsi="Arial"/>
                <w:sz w:val="18"/>
                <w:szCs w:val="18"/>
                <w:i w:val="1"/>
                <w:iCs w:val="1"/>
                <w:color w:val="auto"/>
                <w:w w:val="98"/>
              </w:rPr>
              <w:t>(Principal Executive Officer)</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700" w:type="dxa"/>
            <w:vAlign w:val="bottom"/>
            <w:gridSpan w:val="4"/>
          </w:tcPr>
          <w:p>
            <w:pPr>
              <w:spacing w:after="0"/>
              <w:rPr>
                <w:sz w:val="20"/>
                <w:szCs w:val="20"/>
                <w:color w:val="auto"/>
              </w:rPr>
            </w:pPr>
            <w:r>
              <w:rPr>
                <w:rFonts w:ascii="Arial" w:cs="Arial" w:eastAsia="Arial" w:hAnsi="Arial"/>
                <w:sz w:val="18"/>
                <w:szCs w:val="18"/>
                <w:color w:val="auto"/>
              </w:rPr>
              <w:t>Dated: November 20, 2012</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Timothy E. Bixby</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spacing w:after="0" w:line="195" w:lineRule="exact"/>
              <w:rPr>
                <w:sz w:val="20"/>
                <w:szCs w:val="20"/>
                <w:color w:val="auto"/>
              </w:rPr>
            </w:pPr>
            <w:r>
              <w:rPr>
                <w:rFonts w:ascii="Arial" w:cs="Arial" w:eastAsia="Arial" w:hAnsi="Arial"/>
                <w:sz w:val="18"/>
                <w:szCs w:val="18"/>
                <w:color w:val="auto"/>
              </w:rPr>
              <w:t>Timothy E. Bixby</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i w:val="1"/>
                <w:iCs w:val="1"/>
                <w:color w:val="auto"/>
              </w:rPr>
              <w:t>Chief Financial Officer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6"/>
          </w:tcPr>
          <w:p>
            <w:pPr>
              <w:spacing w:after="0"/>
              <w:rPr>
                <w:sz w:val="20"/>
                <w:szCs w:val="20"/>
                <w:color w:val="auto"/>
              </w:rPr>
            </w:pPr>
            <w:r>
              <w:rPr>
                <w:rFonts w:ascii="Arial" w:cs="Arial" w:eastAsia="Arial" w:hAnsi="Arial"/>
                <w:sz w:val="18"/>
                <w:szCs w:val="18"/>
                <w:i w:val="1"/>
                <w:iCs w:val="1"/>
                <w:color w:val="auto"/>
                <w:w w:val="96"/>
              </w:rPr>
              <w:t>(Principal Financial and Accounting Officer)</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4"/>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EXHIBIT INDEX</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5"/>
              </w:rPr>
              <w:t>Incorporated by Reference</w:t>
            </w:r>
          </w:p>
        </w:tc>
        <w:tc>
          <w:tcPr>
            <w:tcW w:w="1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3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4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Description</w:t>
            </w:r>
          </w:p>
        </w:tc>
        <w:tc>
          <w:tcPr>
            <w:tcW w:w="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2"/>
                <w:szCs w:val="12"/>
                <w:color w:val="auto"/>
              </w:rPr>
            </w:pPr>
          </w:p>
        </w:tc>
        <w:tc>
          <w:tcPr>
            <w:tcW w:w="122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File No.</w:t>
            </w:r>
          </w:p>
        </w:tc>
        <w:tc>
          <w:tcPr>
            <w:tcW w:w="240" w:type="dxa"/>
            <w:vAlign w:val="bottom"/>
          </w:tcPr>
          <w:p>
            <w:pPr>
              <w:spacing w:after="0"/>
              <w:rPr>
                <w:sz w:val="12"/>
                <w:szCs w:val="12"/>
                <w:color w:val="auto"/>
              </w:rPr>
            </w:pPr>
          </w:p>
        </w:tc>
        <w:tc>
          <w:tcPr>
            <w:tcW w:w="9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2"/>
                <w:szCs w:val="12"/>
                <w:color w:val="auto"/>
              </w:rPr>
            </w:pPr>
          </w:p>
        </w:tc>
        <w:tc>
          <w:tcPr>
            <w:tcW w:w="182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rPr>
              <w:t>Filing Date</w:t>
            </w:r>
          </w:p>
        </w:tc>
        <w:tc>
          <w:tcPr>
            <w:tcW w:w="40" w:type="dxa"/>
            <w:vAlign w:val="bottom"/>
          </w:tcPr>
          <w:p>
            <w:pPr>
              <w:spacing w:after="0"/>
              <w:rPr>
                <w:sz w:val="12"/>
                <w:szCs w:val="12"/>
                <w:color w:val="auto"/>
              </w:rPr>
            </w:pPr>
          </w:p>
        </w:tc>
      </w:tr>
      <w:tr>
        <w:trPr>
          <w:trHeight w:val="411"/>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Agreement and Plan of Merger, dated as of October 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October 5, 2012</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4"/>
              </w:rPr>
              <w:t>2012, between the Registrant and Shutterstock Images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LLC.</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Agreement and Plan of Merger, dated as of October 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October 5, 2012</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2012, among the Registrant, Shutterstock Investors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II, Inc., Insight Venture Partners (Cayman) V, L.P.,</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Shutterstock Investors III, Inc. and Insight Venture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Partners V Coinvestment Fund, L.P.</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1"/>
              </w:rPr>
              <w:t>Amended and Restated Certificate of Incorporation of the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June 29,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Registrant, as currently in effect.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9"/>
              </w:rPr>
              <w:t>Amended and Restated Bylaws of the Registrant, as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currently in effect.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6"/>
              </w:rPr>
              <w:t>Registration Rights Agreement, dated as of October 5,</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October 5, 2012</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2"/>
              </w:rPr>
              <w:t>2012, between the Registrant and the investors listed 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Schedule 1 thereto.</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 §</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Form of Indemnification Agreement between the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August 30,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Registrant and each of its Officers and Directors.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 §</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2"/>
              </w:rPr>
              <w:t>2012 Omnibus Equity Incentive Plan and Form of Award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Agreements.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 §</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2012 Employee Stock Purchase Plan and Form of</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June 29,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Subscription Agreement.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10.4 §</w:t>
            </w:r>
          </w:p>
        </w:tc>
        <w:tc>
          <w:tcPr>
            <w:tcW w:w="20" w:type="dxa"/>
            <w:vAlign w:val="bottom"/>
          </w:tcPr>
          <w:p>
            <w:pPr>
              <w:spacing w:after="0"/>
              <w:rPr>
                <w:sz w:val="24"/>
                <w:szCs w:val="24"/>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Shutterstock, Inc. Short-Term Incentive Plan.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August 30, 2012</w:t>
            </w:r>
          </w:p>
        </w:tc>
        <w:tc>
          <w:tcPr>
            <w:tcW w:w="4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10.5(a) §</w:t>
            </w: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Employment Agreement between Shutterstock Images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10.8(a)</w:t>
            </w: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LLC and Jonathan Oringer dated September 24, 2012.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10.5(b) §</w:t>
            </w: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Severance and Change in Control Agreement between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10.8(b)</w:t>
            </w: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6"/>
              </w:rPr>
              <w:t>Shutterstock Images LLC and Jonathan Oringer dated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September 24, 2012.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10.6(a) §</w:t>
            </w: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Employment Agreement between Shutterstock Images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10.9(a)</w:t>
            </w: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rPr>
              <w:t>LLC and Thilo Semmelbauer dated March 21, 2010.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10.6(b) §</w:t>
            </w: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5"/>
              </w:rPr>
              <w:t>Severance and Change in Control Agreement between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jc w:val="right"/>
              <w:ind w:right="580"/>
              <w:spacing w:after="0"/>
              <w:rPr>
                <w:sz w:val="20"/>
                <w:szCs w:val="20"/>
                <w:color w:val="auto"/>
              </w:rPr>
            </w:pPr>
            <w:r>
              <w:rPr>
                <w:rFonts w:ascii="Arial" w:cs="Arial" w:eastAsia="Arial" w:hAnsi="Arial"/>
                <w:sz w:val="18"/>
                <w:szCs w:val="18"/>
                <w:color w:val="auto"/>
                <w:w w:val="88"/>
              </w:rPr>
              <w:t>S-1/A</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w w:val="87"/>
              </w:rPr>
              <w:t>333-181376</w:t>
            </w: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10.9(b)</w:t>
            </w:r>
          </w:p>
        </w:tc>
        <w:tc>
          <w:tcPr>
            <w:tcW w:w="1820" w:type="dxa"/>
            <w:vAlign w:val="bottom"/>
          </w:tcPr>
          <w:p>
            <w:pPr>
              <w:spacing w:after="0"/>
              <w:rPr>
                <w:sz w:val="20"/>
                <w:szCs w:val="20"/>
                <w:color w:val="auto"/>
              </w:rPr>
            </w:pPr>
            <w:r>
              <w:rPr>
                <w:rFonts w:ascii="Arial" w:cs="Arial" w:eastAsia="Arial" w:hAnsi="Arial"/>
                <w:sz w:val="18"/>
                <w:szCs w:val="18"/>
                <w:color w:val="auto"/>
              </w:rPr>
              <w:t>September 27, 2012</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2"/>
          </w:tcPr>
          <w:p>
            <w:pPr>
              <w:ind w:left="220"/>
              <w:spacing w:after="0"/>
              <w:rPr>
                <w:sz w:val="20"/>
                <w:szCs w:val="20"/>
                <w:color w:val="auto"/>
              </w:rPr>
            </w:pPr>
            <w:r>
              <w:rPr>
                <w:rFonts w:ascii="Arial" w:cs="Arial" w:eastAsia="Arial" w:hAnsi="Arial"/>
                <w:sz w:val="18"/>
                <w:szCs w:val="18"/>
                <w:color w:val="auto"/>
                <w:w w:val="92"/>
              </w:rPr>
              <w:t>Shutterstock Images LLC and Thilo Semmelbauer dated</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-7042150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-7042150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September 24, 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10.6(c)+§</w:t>
            </w:r>
          </w:p>
        </w:tc>
        <w:tc>
          <w:tcPr>
            <w:tcW w:w="4500" w:type="dxa"/>
            <w:vAlign w:val="bottom"/>
          </w:tcPr>
          <w:p>
            <w:pPr>
              <w:ind w:left="120"/>
              <w:spacing w:after="0"/>
              <w:rPr>
                <w:sz w:val="20"/>
                <w:szCs w:val="20"/>
                <w:color w:val="auto"/>
              </w:rPr>
            </w:pPr>
            <w:r>
              <w:rPr>
                <w:rFonts w:ascii="Arial" w:cs="Arial" w:eastAsia="Arial" w:hAnsi="Arial"/>
                <w:sz w:val="18"/>
                <w:szCs w:val="18"/>
                <w:color w:val="auto"/>
                <w:w w:val="97"/>
              </w:rPr>
              <w:t>Restricted Stock Agreement between the Registrant and</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Thilo Semmelbauer dated October 5, 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10.7(a) §</w:t>
            </w:r>
          </w:p>
        </w:tc>
        <w:tc>
          <w:tcPr>
            <w:tcW w:w="4500" w:type="dxa"/>
            <w:vAlign w:val="bottom"/>
          </w:tcPr>
          <w:p>
            <w:pPr>
              <w:ind w:left="120"/>
              <w:spacing w:after="0"/>
              <w:rPr>
                <w:sz w:val="20"/>
                <w:szCs w:val="20"/>
                <w:color w:val="auto"/>
              </w:rPr>
            </w:pPr>
            <w:r>
              <w:rPr>
                <w:rFonts w:ascii="Arial" w:cs="Arial" w:eastAsia="Arial" w:hAnsi="Arial"/>
                <w:sz w:val="18"/>
                <w:szCs w:val="18"/>
                <w:color w:val="auto"/>
              </w:rPr>
              <w:t>Employment Agreement between Shutterstock Images</w:t>
            </w:r>
          </w:p>
        </w:tc>
        <w:tc>
          <w:tcPr>
            <w:tcW w:w="800" w:type="dxa"/>
            <w:vAlign w:val="bottom"/>
          </w:tcPr>
          <w:p>
            <w:pPr>
              <w:ind w:left="80"/>
              <w:spacing w:after="0"/>
              <w:rPr>
                <w:sz w:val="20"/>
                <w:szCs w:val="20"/>
                <w:color w:val="auto"/>
              </w:rPr>
            </w:pPr>
            <w:r>
              <w:rPr>
                <w:rFonts w:ascii="Arial" w:cs="Arial" w:eastAsia="Arial" w:hAnsi="Arial"/>
                <w:sz w:val="18"/>
                <w:szCs w:val="18"/>
                <w:color w:val="auto"/>
              </w:rPr>
              <w:t>S-1/A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333-181376</w:t>
            </w:r>
          </w:p>
        </w:tc>
        <w:tc>
          <w:tcPr>
            <w:tcW w:w="1180" w:type="dxa"/>
            <w:vAlign w:val="bottom"/>
          </w:tcPr>
          <w:p>
            <w:pPr>
              <w:ind w:left="300"/>
              <w:spacing w:after="0"/>
              <w:rPr>
                <w:sz w:val="20"/>
                <w:szCs w:val="20"/>
                <w:color w:val="auto"/>
              </w:rPr>
            </w:pPr>
            <w:r>
              <w:rPr>
                <w:rFonts w:ascii="Arial" w:cs="Arial" w:eastAsia="Arial" w:hAnsi="Arial"/>
                <w:sz w:val="18"/>
                <w:szCs w:val="18"/>
                <w:color w:val="auto"/>
              </w:rPr>
              <w:t>10.10(a)</w:t>
            </w:r>
          </w:p>
        </w:tc>
        <w:tc>
          <w:tcPr>
            <w:tcW w:w="2140" w:type="dxa"/>
            <w:vAlign w:val="bottom"/>
          </w:tcPr>
          <w:p>
            <w:pPr>
              <w:ind w:left="280"/>
              <w:spacing w:after="0"/>
              <w:rPr>
                <w:sz w:val="20"/>
                <w:szCs w:val="20"/>
                <w:color w:val="auto"/>
              </w:rPr>
            </w:pPr>
            <w:r>
              <w:rPr>
                <w:rFonts w:ascii="Arial" w:cs="Arial" w:eastAsia="Arial" w:hAnsi="Arial"/>
                <w:sz w:val="18"/>
                <w:szCs w:val="18"/>
                <w:color w:val="auto"/>
              </w:rPr>
              <w:t>September 27, 2012</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LLC and Timothy E. Bixby dated May 16, 2011.</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ind w:left="4220"/>
              <w:spacing w:after="0"/>
              <w:rPr>
                <w:sz w:val="20"/>
                <w:szCs w:val="20"/>
                <w:color w:val="auto"/>
              </w:rPr>
            </w:pPr>
            <w:r>
              <w:rPr>
                <w:rFonts w:ascii="Arial" w:cs="Arial" w:eastAsia="Arial" w:hAnsi="Arial"/>
                <w:sz w:val="18"/>
                <w:szCs w:val="18"/>
                <w:color w:val="auto"/>
              </w:rPr>
              <w:t>48</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r>
      <w:tr>
        <w:trPr>
          <w:trHeight w:val="523"/>
        </w:trPr>
        <w:tc>
          <w:tcPr>
            <w:tcW w:w="1400" w:type="dxa"/>
            <w:vAlign w:val="bottom"/>
            <w:gridSpan w:val="2"/>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4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10.7(b) §</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9"/>
              </w:rPr>
              <w:t>Severance and Change in Control Agreement between</w:t>
            </w:r>
          </w:p>
        </w:tc>
        <w:tc>
          <w:tcPr>
            <w:tcW w:w="800" w:type="dxa"/>
            <w:vAlign w:val="bottom"/>
          </w:tcPr>
          <w:p>
            <w:pPr>
              <w:ind w:left="80"/>
              <w:spacing w:after="0"/>
              <w:rPr>
                <w:sz w:val="20"/>
                <w:szCs w:val="20"/>
                <w:color w:val="auto"/>
              </w:rPr>
            </w:pPr>
            <w:r>
              <w:rPr>
                <w:rFonts w:ascii="Arial" w:cs="Arial" w:eastAsia="Arial" w:hAnsi="Arial"/>
                <w:sz w:val="18"/>
                <w:szCs w:val="18"/>
                <w:color w:val="auto"/>
              </w:rPr>
              <w:t>S-1/A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333-181376</w:t>
            </w:r>
          </w:p>
        </w:tc>
        <w:tc>
          <w:tcPr>
            <w:tcW w:w="1180" w:type="dxa"/>
            <w:vAlign w:val="bottom"/>
          </w:tcPr>
          <w:p>
            <w:pPr>
              <w:ind w:left="300"/>
              <w:spacing w:after="0"/>
              <w:rPr>
                <w:sz w:val="20"/>
                <w:szCs w:val="20"/>
                <w:color w:val="auto"/>
              </w:rPr>
            </w:pPr>
            <w:r>
              <w:rPr>
                <w:rFonts w:ascii="Arial" w:cs="Arial" w:eastAsia="Arial" w:hAnsi="Arial"/>
                <w:sz w:val="18"/>
                <w:szCs w:val="18"/>
                <w:color w:val="auto"/>
              </w:rPr>
              <w:t>10.10(b)</w:t>
            </w:r>
          </w:p>
        </w:tc>
        <w:tc>
          <w:tcPr>
            <w:tcW w:w="2140" w:type="dxa"/>
            <w:vAlign w:val="bottom"/>
          </w:tcPr>
          <w:p>
            <w:pPr>
              <w:ind w:left="280"/>
              <w:spacing w:after="0"/>
              <w:rPr>
                <w:sz w:val="20"/>
                <w:szCs w:val="20"/>
                <w:color w:val="auto"/>
              </w:rPr>
            </w:pPr>
            <w:r>
              <w:rPr>
                <w:rFonts w:ascii="Arial" w:cs="Arial" w:eastAsia="Arial" w:hAnsi="Arial"/>
                <w:sz w:val="18"/>
                <w:szCs w:val="18"/>
                <w:color w:val="auto"/>
              </w:rPr>
              <w:t>September 27, 2012</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Shutterstock Images LLC and Timothy E. Bixby dated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September 24, 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10.8(a) §</w:t>
            </w:r>
          </w:p>
        </w:tc>
        <w:tc>
          <w:tcPr>
            <w:tcW w:w="4500" w:type="dxa"/>
            <w:vAlign w:val="bottom"/>
          </w:tcPr>
          <w:p>
            <w:pPr>
              <w:ind w:left="120"/>
              <w:spacing w:after="0"/>
              <w:rPr>
                <w:sz w:val="20"/>
                <w:szCs w:val="20"/>
                <w:color w:val="auto"/>
              </w:rPr>
            </w:pPr>
            <w:r>
              <w:rPr>
                <w:rFonts w:ascii="Arial" w:cs="Arial" w:eastAsia="Arial" w:hAnsi="Arial"/>
                <w:sz w:val="18"/>
                <w:szCs w:val="18"/>
                <w:color w:val="auto"/>
              </w:rPr>
              <w:t>Employment Agreement between Shutterstock Images</w:t>
            </w:r>
          </w:p>
        </w:tc>
        <w:tc>
          <w:tcPr>
            <w:tcW w:w="800" w:type="dxa"/>
            <w:vAlign w:val="bottom"/>
          </w:tcPr>
          <w:p>
            <w:pPr>
              <w:ind w:left="80"/>
              <w:spacing w:after="0"/>
              <w:rPr>
                <w:sz w:val="20"/>
                <w:szCs w:val="20"/>
                <w:color w:val="auto"/>
              </w:rPr>
            </w:pPr>
            <w:r>
              <w:rPr>
                <w:rFonts w:ascii="Arial" w:cs="Arial" w:eastAsia="Arial" w:hAnsi="Arial"/>
                <w:sz w:val="18"/>
                <w:szCs w:val="18"/>
                <w:color w:val="auto"/>
              </w:rPr>
              <w:t>S-1/A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333-181376</w:t>
            </w:r>
          </w:p>
        </w:tc>
        <w:tc>
          <w:tcPr>
            <w:tcW w:w="1180" w:type="dxa"/>
            <w:vAlign w:val="bottom"/>
          </w:tcPr>
          <w:p>
            <w:pPr>
              <w:ind w:left="300"/>
              <w:spacing w:after="0"/>
              <w:rPr>
                <w:sz w:val="20"/>
                <w:szCs w:val="20"/>
                <w:color w:val="auto"/>
              </w:rPr>
            </w:pPr>
            <w:r>
              <w:rPr>
                <w:rFonts w:ascii="Arial" w:cs="Arial" w:eastAsia="Arial" w:hAnsi="Arial"/>
                <w:sz w:val="18"/>
                <w:szCs w:val="18"/>
                <w:color w:val="auto"/>
              </w:rPr>
              <w:t>10.11(a)</w:t>
            </w:r>
          </w:p>
        </w:tc>
        <w:tc>
          <w:tcPr>
            <w:tcW w:w="2140" w:type="dxa"/>
            <w:vAlign w:val="bottom"/>
          </w:tcPr>
          <w:p>
            <w:pPr>
              <w:ind w:left="280"/>
              <w:spacing w:after="0"/>
              <w:rPr>
                <w:sz w:val="20"/>
                <w:szCs w:val="20"/>
                <w:color w:val="auto"/>
              </w:rPr>
            </w:pPr>
            <w:r>
              <w:rPr>
                <w:rFonts w:ascii="Arial" w:cs="Arial" w:eastAsia="Arial" w:hAnsi="Arial"/>
                <w:sz w:val="18"/>
                <w:szCs w:val="18"/>
                <w:color w:val="auto"/>
              </w:rPr>
              <w:t>September 27, 2012</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LLC and James Chou dated September 24, 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10.8(b) §</w:t>
            </w:r>
          </w:p>
        </w:tc>
        <w:tc>
          <w:tcPr>
            <w:tcW w:w="4500" w:type="dxa"/>
            <w:vAlign w:val="bottom"/>
          </w:tcPr>
          <w:p>
            <w:pPr>
              <w:ind w:left="120"/>
              <w:spacing w:after="0"/>
              <w:rPr>
                <w:sz w:val="20"/>
                <w:szCs w:val="20"/>
                <w:color w:val="auto"/>
              </w:rPr>
            </w:pPr>
            <w:r>
              <w:rPr>
                <w:rFonts w:ascii="Arial" w:cs="Arial" w:eastAsia="Arial" w:hAnsi="Arial"/>
                <w:sz w:val="18"/>
                <w:szCs w:val="18"/>
                <w:color w:val="auto"/>
                <w:w w:val="99"/>
              </w:rPr>
              <w:t>Severance and Change in Control Agreement between</w:t>
            </w:r>
          </w:p>
        </w:tc>
        <w:tc>
          <w:tcPr>
            <w:tcW w:w="800" w:type="dxa"/>
            <w:vAlign w:val="bottom"/>
          </w:tcPr>
          <w:p>
            <w:pPr>
              <w:ind w:left="80"/>
              <w:spacing w:after="0"/>
              <w:rPr>
                <w:sz w:val="20"/>
                <w:szCs w:val="20"/>
                <w:color w:val="auto"/>
              </w:rPr>
            </w:pPr>
            <w:r>
              <w:rPr>
                <w:rFonts w:ascii="Arial" w:cs="Arial" w:eastAsia="Arial" w:hAnsi="Arial"/>
                <w:sz w:val="18"/>
                <w:szCs w:val="18"/>
                <w:color w:val="auto"/>
              </w:rPr>
              <w:t>S-1/A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333-181376</w:t>
            </w:r>
          </w:p>
        </w:tc>
        <w:tc>
          <w:tcPr>
            <w:tcW w:w="1180" w:type="dxa"/>
            <w:vAlign w:val="bottom"/>
          </w:tcPr>
          <w:p>
            <w:pPr>
              <w:ind w:left="300"/>
              <w:spacing w:after="0"/>
              <w:rPr>
                <w:sz w:val="20"/>
                <w:szCs w:val="20"/>
                <w:color w:val="auto"/>
              </w:rPr>
            </w:pPr>
            <w:r>
              <w:rPr>
                <w:rFonts w:ascii="Arial" w:cs="Arial" w:eastAsia="Arial" w:hAnsi="Arial"/>
                <w:sz w:val="18"/>
                <w:szCs w:val="18"/>
                <w:color w:val="auto"/>
              </w:rPr>
              <w:t>10.11(b)</w:t>
            </w:r>
          </w:p>
        </w:tc>
        <w:tc>
          <w:tcPr>
            <w:tcW w:w="2140" w:type="dxa"/>
            <w:vAlign w:val="bottom"/>
          </w:tcPr>
          <w:p>
            <w:pPr>
              <w:ind w:left="280"/>
              <w:spacing w:after="0"/>
              <w:rPr>
                <w:sz w:val="20"/>
                <w:szCs w:val="20"/>
                <w:color w:val="auto"/>
              </w:rPr>
            </w:pPr>
            <w:r>
              <w:rPr>
                <w:rFonts w:ascii="Arial" w:cs="Arial" w:eastAsia="Arial" w:hAnsi="Arial"/>
                <w:sz w:val="18"/>
                <w:szCs w:val="18"/>
                <w:color w:val="auto"/>
              </w:rPr>
              <w:t>September 27, 2012</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Shutterstock Images LLC and James Chou dated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September 24, 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Loan and Security Agreement between Silicon Valley</w:t>
            </w:r>
          </w:p>
        </w:tc>
        <w:tc>
          <w:tcPr>
            <w:tcW w:w="800" w:type="dxa"/>
            <w:vAlign w:val="bottom"/>
          </w:tcPr>
          <w:p>
            <w:pPr>
              <w:ind w:left="80"/>
              <w:spacing w:after="0"/>
              <w:rPr>
                <w:sz w:val="20"/>
                <w:szCs w:val="20"/>
                <w:color w:val="auto"/>
              </w:rPr>
            </w:pPr>
            <w:r>
              <w:rPr>
                <w:rFonts w:ascii="Arial" w:cs="Arial" w:eastAsia="Arial" w:hAnsi="Arial"/>
                <w:sz w:val="18"/>
                <w:szCs w:val="18"/>
                <w:color w:val="auto"/>
              </w:rPr>
              <w:t>S-1/A</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333-181376</w:t>
            </w:r>
          </w:p>
        </w:tc>
        <w:tc>
          <w:tcPr>
            <w:tcW w:w="1180" w:type="dxa"/>
            <w:vAlign w:val="bottom"/>
          </w:tcPr>
          <w:p>
            <w:pPr>
              <w:ind w:left="300"/>
              <w:spacing w:after="0"/>
              <w:rPr>
                <w:sz w:val="20"/>
                <w:szCs w:val="20"/>
                <w:color w:val="auto"/>
              </w:rPr>
            </w:pPr>
            <w:r>
              <w:rPr>
                <w:rFonts w:ascii="Arial" w:cs="Arial" w:eastAsia="Arial" w:hAnsi="Arial"/>
                <w:sz w:val="18"/>
                <w:szCs w:val="18"/>
                <w:color w:val="auto"/>
              </w:rPr>
              <w:t>10.12</w:t>
            </w:r>
          </w:p>
        </w:tc>
        <w:tc>
          <w:tcPr>
            <w:tcW w:w="2140" w:type="dxa"/>
            <w:vAlign w:val="bottom"/>
          </w:tcPr>
          <w:p>
            <w:pPr>
              <w:ind w:left="280"/>
              <w:spacing w:after="0"/>
              <w:rPr>
                <w:sz w:val="20"/>
                <w:szCs w:val="20"/>
                <w:color w:val="auto"/>
              </w:rPr>
            </w:pPr>
            <w:r>
              <w:rPr>
                <w:rFonts w:ascii="Arial" w:cs="Arial" w:eastAsia="Arial" w:hAnsi="Arial"/>
                <w:sz w:val="18"/>
                <w:szCs w:val="18"/>
                <w:color w:val="auto"/>
              </w:rPr>
              <w:t>September 27, 2012</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5"/>
              </w:rPr>
              <w:t>Bank and Shutterstock Images LLC dated September 21,</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2012.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4"/>
              </w:rPr>
              <w:t>Exchange Act Rules 13a-14(a) and 15d-14(a), as adopted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2002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4"/>
              </w:rPr>
              <w:t>Exchange Act Rules 13a-14(a) and 15d-14(a), as adopted</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pursuant to Section 302 of the Sarbanes-Oxley Act of</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2002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Certifications of Chief Executive Officer pursuant to 18</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5"/>
              </w:rPr>
              <w:t>U.S.C. Section 1350, as adopted pursuant to Section 906</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of the Sarbanes-Oxley Act of 2002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Certifications of Chief Financial Officer pursuant to 18</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w w:val="95"/>
              </w:rPr>
              <w:t>U.S.C. Section 1350, as adopted pursuant to Section 906</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of the Sarbanes-Oxley Act of 2002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0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4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8"/>
        </w:trPr>
        <w:tc>
          <w:tcPr>
            <w:tcW w:w="14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Document</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-6973570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-6973570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Securities Act of 1933 or the Securities Exchange Act of 1934, irrespective of any general incorporation language in any filings.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XBRL information to be filed by amendment.</w:t>
      </w:r>
    </w:p>
    <w:p>
      <w:pPr>
        <w:sectPr>
          <w:pgSz w:w="11900" w:h="16838" w:orient="portrait"/>
          <w:cols w:equalWidth="0" w:num="1">
            <w:col w:w="11460"/>
          </w:cols>
          <w:pgMar w:left="240" w:top="125" w:right="199" w:bottom="973"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973"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10.6(c)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RESTRICTED STOCK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between Thilo Semmelbauer (the “</w:t>
      </w:r>
      <w:r>
        <w:rPr>
          <w:rFonts w:ascii="Arial" w:cs="Arial" w:eastAsia="Arial" w:hAnsi="Arial"/>
          <w:sz w:val="16"/>
          <w:szCs w:val="16"/>
          <w:b w:val="1"/>
          <w:bCs w:val="1"/>
          <w:i w:val="1"/>
          <w:iCs w:val="1"/>
          <w:color w:val="auto"/>
        </w:rPr>
        <w:t>Shareholder</w:t>
      </w:r>
      <w:r>
        <w:rPr>
          <w:rFonts w:ascii="Arial" w:cs="Arial" w:eastAsia="Arial" w:hAnsi="Arial"/>
          <w:sz w:val="16"/>
          <w:szCs w:val="16"/>
          <w:color w:val="auto"/>
        </w:rPr>
        <w:t>”) and Shutterstock,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its assignees of rights hereunder as of October 5,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20" w:firstLine="656"/>
        <w:spacing w:after="0" w:line="264" w:lineRule="auto"/>
        <w:tabs>
          <w:tab w:leader="none" w:pos="13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17, 2010, the Company granted the Shareholder a membership interest (the “</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in Shutterstock Images LLC (“</w:t>
      </w:r>
      <w:r>
        <w:rPr>
          <w:rFonts w:ascii="Arial" w:cs="Arial" w:eastAsia="Arial" w:hAnsi="Arial"/>
          <w:sz w:val="18"/>
          <w:szCs w:val="18"/>
          <w:b w:val="1"/>
          <w:bCs w:val="1"/>
          <w:i w:val="1"/>
          <w:iCs w:val="1"/>
          <w:color w:val="auto"/>
        </w:rPr>
        <w:t>Shutterstock LLC</w:t>
      </w:r>
      <w:r>
        <w:rPr>
          <w:rFonts w:ascii="Arial" w:cs="Arial" w:eastAsia="Arial" w:hAnsi="Arial"/>
          <w:sz w:val="18"/>
          <w:szCs w:val="18"/>
          <w:color w:val="auto"/>
        </w:rPr>
        <w:t>”) pursuant to the Profits Interest Grant and Repurchase Agreement (the “</w:t>
      </w:r>
      <w:r>
        <w:rPr>
          <w:rFonts w:ascii="Arial" w:cs="Arial" w:eastAsia="Arial" w:hAnsi="Arial"/>
          <w:sz w:val="18"/>
          <w:szCs w:val="18"/>
          <w:b w:val="1"/>
          <w:bCs w:val="1"/>
          <w:i w:val="1"/>
          <w:iCs w:val="1"/>
          <w:color w:val="auto"/>
        </w:rPr>
        <w:t>Grant Agreement</w:t>
      </w:r>
      <w:r>
        <w:rPr>
          <w:rFonts w:ascii="Arial" w:cs="Arial" w:eastAsia="Arial" w:hAnsi="Arial"/>
          <w:sz w:val="18"/>
          <w:szCs w:val="18"/>
          <w:color w:val="auto"/>
        </w:rPr>
        <w:t>”), which was subject to vesting based on the Shareholder’s continued service to Shutterstock LLC.</w:t>
      </w:r>
    </w:p>
    <w:p>
      <w:pPr>
        <w:spacing w:after="0" w:line="181" w:lineRule="exact"/>
        <w:rPr>
          <w:rFonts w:ascii="Arial" w:cs="Arial" w:eastAsia="Arial" w:hAnsi="Arial"/>
          <w:sz w:val="18"/>
          <w:szCs w:val="18"/>
          <w:color w:val="auto"/>
        </w:rPr>
      </w:pPr>
    </w:p>
    <w:p>
      <w:pPr>
        <w:ind w:firstLine="656"/>
        <w:spacing w:after="0" w:line="277" w:lineRule="auto"/>
        <w:tabs>
          <w:tab w:leader="none" w:pos="12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Shareholder timely filed an election under Section 83(b)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in connection with the Membership Interest and Grant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connection with a merger transaction whereby Shutterstock LLC was merged with and into the Company (such transaction, the</w:t>
      </w:r>
    </w:p>
    <w:p>
      <w:pPr>
        <w:spacing w:after="0" w:line="3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the Shareholder received in the Merger in exchange for his Membership Interests 427,649 shares of common stock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ind w:right="220" w:firstLine="656"/>
        <w:spacing w:after="0" w:line="312" w:lineRule="auto"/>
        <w:tabs>
          <w:tab w:leader="none" w:pos="12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the Agreement and Plan of Merger with respect to the Merger, the allocable portion of the Shares issued to the Shareholder in the Merger that is attributable to the Shareholder’s Membership Interest that was subject to vesting as of the date of the Merger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will continue to remain subject to the same vesting conditions that were applicable to the Membership Interest as of the Closing Date.</w:t>
      </w:r>
    </w:p>
    <w:p>
      <w:pPr>
        <w:spacing w:after="0" w:line="146" w:lineRule="exact"/>
        <w:rPr>
          <w:rFonts w:ascii="Arial" w:cs="Arial" w:eastAsia="Arial" w:hAnsi="Arial"/>
          <w:sz w:val="16"/>
          <w:szCs w:val="16"/>
          <w:color w:val="auto"/>
        </w:rPr>
      </w:pPr>
    </w:p>
    <w:p>
      <w:pPr>
        <w:jc w:val="both"/>
        <w:ind w:right="120" w:firstLine="656"/>
        <w:spacing w:after="0" w:line="302" w:lineRule="auto"/>
        <w:tabs>
          <w:tab w:leader="none" w:pos="13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the Closing Date, the Shareholder was vested as to 7/15 of his Membership Interest and, therefore, 7/15 of the number of Shares, or 199,570 shares, are fully vested (the “</w:t>
      </w:r>
      <w:r>
        <w:rPr>
          <w:rFonts w:ascii="Arial" w:cs="Arial" w:eastAsia="Arial" w:hAnsi="Arial"/>
          <w:sz w:val="16"/>
          <w:szCs w:val="16"/>
          <w:b w:val="1"/>
          <w:bCs w:val="1"/>
          <w:i w:val="1"/>
          <w:iCs w:val="1"/>
          <w:color w:val="auto"/>
        </w:rPr>
        <w:t>Vested Shares</w:t>
      </w:r>
      <w:r>
        <w:rPr>
          <w:rFonts w:ascii="Arial" w:cs="Arial" w:eastAsia="Arial" w:hAnsi="Arial"/>
          <w:sz w:val="16"/>
          <w:szCs w:val="16"/>
          <w:color w:val="auto"/>
        </w:rPr>
        <w:t>”). The remaining 8/15 of the number of Shares, or 228,079 shares, relate to the unvested portion of the Membership Interest as of the Closing Date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which will vest and the Company’s right to reacquire the Restricted Shares shall lapse in accordance with the vesting schedule applicable to the Membership Interest, subject to the terms and conditions as more fully set forth in this Agreement.</w:t>
      </w:r>
    </w:p>
    <w:p>
      <w:pPr>
        <w:spacing w:after="0" w:line="154" w:lineRule="exact"/>
        <w:rPr>
          <w:rFonts w:ascii="Arial" w:cs="Arial" w:eastAsia="Arial" w:hAnsi="Arial"/>
          <w:sz w:val="16"/>
          <w:szCs w:val="16"/>
          <w:color w:val="auto"/>
        </w:rPr>
      </w:pPr>
    </w:p>
    <w:p>
      <w:pPr>
        <w:ind w:right="440" w:firstLine="656"/>
        <w:spacing w:after="0" w:line="342" w:lineRule="auto"/>
        <w:tabs>
          <w:tab w:leader="none" w:pos="130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parties hereto desire that this Agreement set forth the terms and conditions regarding the vesting of the Restricted Shares, and this Agreement supersedes in its entirety the Grant Agreement with respect to the terms and conditions regarding the vesting of the Restricted Shares.</w:t>
      </w:r>
    </w:p>
    <w:p>
      <w:pPr>
        <w:spacing w:after="0" w:line="120"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conditions set forth herein, and for other good and sufficient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is hereby acknowledged, the Purchase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firstLine="656"/>
        <w:spacing w:after="0" w:line="277" w:lineRule="auto"/>
        <w:tabs>
          <w:tab w:leader="none" w:pos="97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The Restricted Stock will vest and the Company’s right to reacquire the Restricted Shares will lapse in accordance with the following schedule:</w:t>
      </w:r>
    </w:p>
    <w:p>
      <w:pPr>
        <w:spacing w:after="0" w:line="170" w:lineRule="exact"/>
        <w:rPr>
          <w:rFonts w:ascii="Arial" w:cs="Arial" w:eastAsia="Arial" w:hAnsi="Arial"/>
          <w:sz w:val="18"/>
          <w:szCs w:val="18"/>
          <w:color w:val="auto"/>
        </w:rPr>
      </w:pPr>
    </w:p>
    <w:p>
      <w:pPr>
        <w:ind w:right="220" w:firstLine="1305"/>
        <w:spacing w:after="0" w:line="264" w:lineRule="auto"/>
        <w:tabs>
          <w:tab w:leader="none" w:pos="1942"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Except as provided otherwise in Section 1(b) below, 1/14 of the Restricted Shares shall vest on January 5, 2013 and 1/14 of the Restricted Shares shall vest each calendar quarter thereafter, such that all the Restricted Shares are vested and released from the Company’s right to acquire such Restricted Shares as of April 5, 2016.</w:t>
      </w:r>
    </w:p>
    <w:p>
      <w:pPr>
        <w:spacing w:after="0" w:line="181" w:lineRule="exact"/>
        <w:rPr>
          <w:rFonts w:ascii="Arial" w:cs="Arial" w:eastAsia="Arial" w:hAnsi="Arial"/>
          <w:sz w:val="18"/>
          <w:szCs w:val="18"/>
          <w:color w:val="auto"/>
        </w:rPr>
      </w:pPr>
    </w:p>
    <w:p>
      <w:pPr>
        <w:jc w:val="both"/>
        <w:ind w:right="220" w:firstLine="1305"/>
        <w:spacing w:after="0" w:line="259" w:lineRule="auto"/>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50% of then-outstanding Restricted Shares, which is equal to 114,040 Restricted Shares, shall immediately vest and be released from the Company’s right to acquire such Restricted Shares upon the date of the effectiveness of the registration statement relating to the Company’s initial public offering (such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and, following the Acceleration Date, the remaining Restricted Shares shall vest ratably over the remaining quarterly vesting dates between the Acceleration Date and April 5, 2016.</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Escrow of Restricted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40" w:firstLine="1305"/>
        <w:spacing w:after="0" w:line="264" w:lineRule="auto"/>
        <w:tabs>
          <w:tab w:leader="none" w:pos="16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Restricted Shares will, upon execution of this Agreement, be delivered and deposited with the Secretary of the Company or the Secretary’s designee (the “</w:t>
      </w:r>
      <w:r>
        <w:rPr>
          <w:rFonts w:ascii="Arial" w:cs="Arial" w:eastAsia="Arial" w:hAnsi="Arial"/>
          <w:sz w:val="18"/>
          <w:szCs w:val="18"/>
          <w:b w:val="1"/>
          <w:bCs w:val="1"/>
          <w:i w:val="1"/>
          <w:iCs w:val="1"/>
          <w:color w:val="auto"/>
        </w:rPr>
        <w:t>Escrow Holder</w:t>
      </w:r>
      <w:r>
        <w:rPr>
          <w:rFonts w:ascii="Arial" w:cs="Arial" w:eastAsia="Arial" w:hAnsi="Arial"/>
          <w:sz w:val="18"/>
          <w:szCs w:val="18"/>
          <w:color w:val="auto"/>
        </w:rPr>
        <w:t>”). The Restricted Shares will be held by the Escrow Holder until such time as the Restricted Shares vest or the date the Shareholder ceases to be a Service Provider.</w:t>
      </w:r>
    </w:p>
    <w:p>
      <w:pPr>
        <w:spacing w:after="0" w:line="181" w:lineRule="exact"/>
        <w:rPr>
          <w:rFonts w:ascii="Arial" w:cs="Arial" w:eastAsia="Arial" w:hAnsi="Arial"/>
          <w:sz w:val="18"/>
          <w:szCs w:val="18"/>
          <w:color w:val="auto"/>
        </w:rPr>
      </w:pPr>
    </w:p>
    <w:p>
      <w:pPr>
        <w:ind w:right="140" w:firstLine="1305"/>
        <w:spacing w:after="0" w:line="277" w:lineRule="auto"/>
        <w:tabs>
          <w:tab w:leader="none" w:pos="16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Escrow Holder will not be liable for any act it may do or omit to do with respect to holding the Restricted Shares in escrow while acting in good faith and in the exercise of its judgment.</w:t>
      </w:r>
    </w:p>
    <w:p>
      <w:pPr>
        <w:spacing w:after="0" w:line="170" w:lineRule="exact"/>
        <w:rPr>
          <w:rFonts w:ascii="Arial" w:cs="Arial" w:eastAsia="Arial" w:hAnsi="Arial"/>
          <w:sz w:val="18"/>
          <w:szCs w:val="18"/>
          <w:color w:val="auto"/>
        </w:rPr>
      </w:pPr>
    </w:p>
    <w:p>
      <w:pPr>
        <w:ind w:firstLine="1305"/>
        <w:spacing w:after="0" w:line="255" w:lineRule="auto"/>
        <w:tabs>
          <w:tab w:leader="none" w:pos="16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the Shareholder’s termination as an employee, director, consultant or other service provider to the Company (a “</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Provider</w:t>
      </w:r>
      <w:r>
        <w:rPr>
          <w:rFonts w:ascii="Arial" w:cs="Arial" w:eastAsia="Arial" w:hAnsi="Arial"/>
          <w:sz w:val="18"/>
          <w:szCs w:val="18"/>
          <w:color w:val="auto"/>
        </w:rPr>
        <w:t>”) for any reason, the Escrow Holder, upon receipt of written notice of such termination, will take all steps necessary to accomplish the transfer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unvested Restricted Shares to the Company. The Shareholder hereby appoints the Escrow Holder with full power of substitution, as the Shareholder’s true and lawful attorney in fact with irrevocable power and authority in the name and on behalf of the Shareholder to take any action and execute all documents and instruments, including, without limitation, stock powers which may be necessary to transfer the unvested Restricted Shares to the Company upon such termination.</w:t>
      </w:r>
    </w:p>
    <w:p>
      <w:pPr>
        <w:spacing w:after="0" w:line="193" w:lineRule="exact"/>
        <w:rPr>
          <w:rFonts w:ascii="Arial" w:cs="Arial" w:eastAsia="Arial" w:hAnsi="Arial"/>
          <w:sz w:val="18"/>
          <w:szCs w:val="18"/>
          <w:color w:val="auto"/>
        </w:rPr>
      </w:pPr>
    </w:p>
    <w:p>
      <w:pPr>
        <w:ind w:left="1640" w:hanging="335"/>
        <w:spacing w:after="0"/>
        <w:tabs>
          <w:tab w:leader="none" w:pos="1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Escrow Holder will immediately take all steps necessary to accomplish the transfer of Restricted Shares to the Shareholder 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they vest.</w:t>
      </w:r>
    </w:p>
    <w:p>
      <w:pPr>
        <w:spacing w:after="0" w:line="210" w:lineRule="exact"/>
        <w:rPr>
          <w:rFonts w:ascii="Arial" w:cs="Arial" w:eastAsia="Arial" w:hAnsi="Arial"/>
          <w:sz w:val="16"/>
          <w:szCs w:val="16"/>
          <w:color w:val="auto"/>
        </w:rPr>
      </w:pPr>
    </w:p>
    <w:p>
      <w:pPr>
        <w:ind w:right="20" w:firstLine="1305"/>
        <w:spacing w:after="0" w:line="308" w:lineRule="auto"/>
        <w:tabs>
          <w:tab w:leader="none" w:pos="1631" w:val="left"/>
        </w:tabs>
        <w:numPr>
          <w:ilvl w:val="1"/>
          <w:numId w:val="26"/>
        </w:numPr>
        <w:rPr>
          <w:rFonts w:ascii="Arial" w:cs="Arial" w:eastAsia="Arial" w:hAnsi="Arial"/>
          <w:sz w:val="17"/>
          <w:szCs w:val="17"/>
          <w:color w:val="auto"/>
        </w:rPr>
      </w:pPr>
      <w:r>
        <w:rPr>
          <w:rFonts w:ascii="Arial" w:cs="Arial" w:eastAsia="Arial" w:hAnsi="Arial"/>
          <w:sz w:val="17"/>
          <w:szCs w:val="17"/>
          <w:color w:val="auto"/>
        </w:rPr>
        <w:t>Subject to the terms hereof, the Shareholder will have all the rights of a stockholder with respect to the Restricted Shares while they are held in escrow, including without limitation, the right to vote the Restricted Shares and to receive any cash dividends declared thereon.</w:t>
      </w:r>
    </w:p>
    <w:p>
      <w:pPr>
        <w:sectPr>
          <w:pgSz w:w="11900" w:h="16838" w:orient="portrait"/>
          <w:cols w:equalWidth="0" w:num="1">
            <w:col w:w="11420"/>
          </w:cols>
          <w:pgMar w:left="240" w:top="121" w:right="239" w:bottom="0" w:gutter="0" w:footer="0" w:header="0"/>
        </w:sectPr>
      </w:pPr>
    </w:p>
    <w:bookmarkStart w:id="39" w:name="page40"/>
    <w:bookmarkEnd w:id="39"/>
    <w:p>
      <w:pPr>
        <w:ind w:right="100" w:firstLine="656"/>
        <w:spacing w:after="0" w:line="264" w:lineRule="auto"/>
        <w:tabs>
          <w:tab w:leader="none" w:pos="97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of Status as a Service Provider</w:t>
      </w:r>
      <w:r>
        <w:rPr>
          <w:rFonts w:ascii="Arial" w:cs="Arial" w:eastAsia="Arial" w:hAnsi="Arial"/>
          <w:sz w:val="18"/>
          <w:szCs w:val="18"/>
          <w:color w:val="auto"/>
        </w:rPr>
        <w:t>. Unless specifically provided otherwise in this Agreement or in another agreement between Shareholder and the Company, the Restricted Shares that have not vested at the time of the Shareholder’s termination as a Service Provider for any reason will be forfeited and automatically transferred to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reacquired by the Company at no cost to the Company upon the date of such termination and the Shareholder will have no further rights thereunder. The Shareholder will not be entitled to a refund of the price paid for the Restricted Shares, if any, returned to the Company pursuant to this Section 3. The Shareholder hereby appoints the Escrow Holder with full power of substitution, as the Shareholder’s true and lawful attorney-in-fact with irrevocable power and authority in the name and on behalf of the Shareholder to take any action and execute all documents and instruments, including, without limitation, stock powers which may be necessary to transfer such unvested Restricted Shares to the Company pursuant to this Section 3 upon such termination of service.</w:t>
      </w:r>
    </w:p>
    <w:p>
      <w:pPr>
        <w:spacing w:after="0" w:line="158" w:lineRule="exact"/>
        <w:rPr>
          <w:sz w:val="20"/>
          <w:szCs w:val="20"/>
          <w:color w:val="auto"/>
        </w:rPr>
      </w:pPr>
    </w:p>
    <w:p>
      <w:pPr>
        <w:ind w:right="480" w:firstLine="656"/>
        <w:spacing w:after="0" w:line="277" w:lineRule="auto"/>
        <w:tabs>
          <w:tab w:leader="none" w:pos="97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Ownership, Voting Rights, Duties</w:t>
      </w:r>
      <w:r>
        <w:rPr>
          <w:rFonts w:ascii="Arial" w:cs="Arial" w:eastAsia="Arial" w:hAnsi="Arial"/>
          <w:sz w:val="18"/>
          <w:szCs w:val="18"/>
          <w:color w:val="auto"/>
        </w:rPr>
        <w:t>. This Agreement shall not affect in any way the ownership, voting rights or other rights or duties of the Shareholder, except as specifically provided herein.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p>
    <w:p>
      <w:pPr>
        <w:spacing w:after="0" w:line="225" w:lineRule="exact"/>
        <w:rPr>
          <w:rFonts w:ascii="Arial" w:cs="Arial" w:eastAsia="Arial" w:hAnsi="Arial"/>
          <w:sz w:val="18"/>
          <w:szCs w:val="18"/>
          <w:color w:val="auto"/>
        </w:rPr>
      </w:pPr>
    </w:p>
    <w:p>
      <w:pPr>
        <w:ind w:right="420" w:firstLine="1305"/>
        <w:spacing w:after="0" w:line="277" w:lineRule="auto"/>
        <w:tabs>
          <w:tab w:leader="none" w:pos="161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unvested Restricted Shares issued hereunder shall be endorsed with the following legend (in addition to any legend required under applicable state securities laws):</w:t>
      </w:r>
    </w:p>
    <w:p>
      <w:pPr>
        <w:spacing w:after="0" w:line="170" w:lineRule="exact"/>
        <w:rPr>
          <w:sz w:val="20"/>
          <w:szCs w:val="20"/>
          <w:color w:val="auto"/>
        </w:rPr>
      </w:pPr>
    </w:p>
    <w:p>
      <w:pPr>
        <w:jc w:val="both"/>
        <w:ind w:left="1300" w:right="440"/>
        <w:spacing w:after="0" w:line="264" w:lineRule="auto"/>
        <w:rPr>
          <w:sz w:val="20"/>
          <w:szCs w:val="20"/>
          <w:color w:val="auto"/>
        </w:rPr>
      </w:pPr>
      <w:r>
        <w:rPr>
          <w:rFonts w:ascii="Arial" w:cs="Arial" w:eastAsia="Arial" w:hAnsi="Arial"/>
          <w:sz w:val="18"/>
          <w:szCs w:val="18"/>
          <w:color w:val="auto"/>
        </w:rPr>
        <w:t>THE SHARES REPRESENTED HEREBY ARE SUBJECT TO CERTAIN RESTRICTIONS UPON TRANSFER AND RIGHTS OF REPURCHASE AS SET FORTH IN AN AGREEMENT BETWEEN THE COMPANY AND THE STOCKHOLDER, A COPY OF WHICH IS ON FILE WITH THE SECRETARY OF THE COMPANY.</w:t>
      </w:r>
    </w:p>
    <w:p>
      <w:pPr>
        <w:spacing w:after="0" w:line="181" w:lineRule="exact"/>
        <w:rPr>
          <w:sz w:val="20"/>
          <w:szCs w:val="20"/>
          <w:color w:val="auto"/>
        </w:rPr>
      </w:pPr>
    </w:p>
    <w:p>
      <w:pPr>
        <w:ind w:left="1300" w:right="360"/>
        <w:spacing w:after="0" w:line="276" w:lineRule="auto"/>
        <w:rPr>
          <w:sz w:val="20"/>
          <w:szCs w:val="20"/>
          <w:color w:val="auto"/>
        </w:rPr>
      </w:pPr>
      <w:r>
        <w:rPr>
          <w:rFonts w:ascii="Arial" w:cs="Arial" w:eastAsia="Arial" w:hAnsi="Arial"/>
          <w:sz w:val="17"/>
          <w:szCs w:val="17"/>
          <w:color w:val="auto"/>
        </w:rPr>
        <w:t>THE SHARES REPRESENTED HEREBY HAVE NOT BEEN REGISTERED UNDER THE SECURITIES ACT OF 1933, AS AMENDED (THE “SECURITIES ACT”). THEY MAY NOT BE SOLD, OFFERED FOR SALE, PLEDGED, TRANSFERRED OR OTHERWISE DISPOSED OF IN THE ABSENCE OF A REGISTRATION STATEMENT IN EFFECT WITH RESPECT TO THE SHARES UNDER THE SECURITIES ACT OR AN OPINION OF COUNSEL SATISFACTORY TO THE COMPANY THAT SUCH REGISTRATION IS NOT REQUIRED OR UNLESS SOLD PURSUANT TO RULE 144 OF THE SECURITIES ACT.</w:t>
      </w:r>
    </w:p>
    <w:p>
      <w:pPr>
        <w:spacing w:after="0" w:line="1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At such time as it is appropriate to remove any of the foregoing legends because the restrictions described therein are no longer applicable to the Shares, the Company will use its reasonable efforts to have such legends removed as soon as practicable thereafter.</w:t>
      </w:r>
    </w:p>
    <w:p>
      <w:pPr>
        <w:spacing w:after="0" w:line="170" w:lineRule="exact"/>
        <w:rPr>
          <w:sz w:val="20"/>
          <w:szCs w:val="20"/>
          <w:color w:val="auto"/>
        </w:rPr>
      </w:pPr>
    </w:p>
    <w:p>
      <w:pPr>
        <w:ind w:right="100" w:firstLine="1305"/>
        <w:spacing w:after="0" w:line="264" w:lineRule="auto"/>
        <w:tabs>
          <w:tab w:leader="none" w:pos="16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ind w:right="580" w:firstLine="1305"/>
        <w:spacing w:after="0" w:line="308" w:lineRule="auto"/>
        <w:tabs>
          <w:tab w:leader="none" w:pos="163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Refusal to Transfer</w:t>
      </w:r>
      <w:r>
        <w:rPr>
          <w:rFonts w:ascii="Arial" w:cs="Arial" w:eastAsia="Arial" w:hAnsi="Arial"/>
          <w:sz w:val="17"/>
          <w:szCs w:val="17"/>
          <w:color w:val="auto"/>
        </w:rPr>
        <w:t>. The Company shall not be required (i) to transfer on its books any Shares that have been sold or otherwise transferred in violation of any of the provisions of this Agreement or (ii) to treat as owner of such Shares or to accord the right to vote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pay dividends to any purchaser or other transferee to whom such Shares shall have been so transferred.</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4" w:lineRule="auto"/>
        <w:tabs>
          <w:tab w:leader="none" w:pos="161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Regardless of any action the Company takes with respect to any or all applicable national, local, or other tax or social contribution, withholding, required deductions, or other payments, if any, that may arise upon the receipt, vesting, the holding or subsequent sale of the Shares, and the receipt of dividends, if any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Shareholder acknowledges and agrees that the ultimate liability for all Tax-Related Items legally due by the Shareholder is and remains the Shareholder’s responsibility, except to the extent the Shareholder is entitled to a gross-up under Section 6(b) below. The Shareholder further acknowledges that the Company (a) makes no representations or undertakings regarding the treatment of any Tax-Related Items in connection with any aspect of the Restricted Shares and the receipt of dividends, if any; and (b) does not commit to and is under no obligation to structure the terms of the Restricted Stock to reduce or eliminate the Shareholder’s liability for Tax-Related Items, or achieve any particular tax result.</w:t>
      </w:r>
    </w:p>
    <w:p>
      <w:pPr>
        <w:spacing w:after="0" w:line="192" w:lineRule="exact"/>
        <w:rPr>
          <w:rFonts w:ascii="Arial" w:cs="Arial" w:eastAsia="Arial" w:hAnsi="Arial"/>
          <w:sz w:val="18"/>
          <w:szCs w:val="18"/>
          <w:color w:val="auto"/>
        </w:rPr>
      </w:pPr>
    </w:p>
    <w:p>
      <w:pPr>
        <w:ind w:firstLine="1305"/>
        <w:spacing w:after="0" w:line="273" w:lineRule="auto"/>
        <w:tabs>
          <w:tab w:leader="none" w:pos="1628"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Tax Gross-Up</w:t>
      </w:r>
      <w:r>
        <w:rPr>
          <w:rFonts w:ascii="Arial" w:cs="Arial" w:eastAsia="Arial" w:hAnsi="Arial"/>
          <w:sz w:val="17"/>
          <w:szCs w:val="17"/>
          <w:color w:val="auto"/>
        </w:rPr>
        <w:t>. The Company shall gross-up Shareholder for all taxes, penalties and interest Shareholder incurs arising out of an Internal Revenue Service (or other government agency) determination that the Membership Interest had a fair market value on the date of grant of more than $0 or a determination that some or all of the terms of the Membership Interest, Grant Agreement, Vested Shares, Restricted Shares or this Agreement are not exempt from or fail to comply with the requirements of Section 409A of the Code and the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The Company reserves the right to amend the this Agreement at any time to cause this Agreement to either comply with or be exempt from Section 409A, providing that no Company amendment or action shall negatively affect any of Shareholder’s rights.</w:t>
      </w:r>
    </w:p>
    <w:p>
      <w:pPr>
        <w:spacing w:after="0" w:line="178" w:lineRule="exact"/>
        <w:rPr>
          <w:rFonts w:ascii="Arial" w:cs="Arial" w:eastAsia="Arial" w:hAnsi="Arial"/>
          <w:sz w:val="17"/>
          <w:szCs w:val="17"/>
          <w:color w:val="auto"/>
        </w:rPr>
      </w:pPr>
    </w:p>
    <w:p>
      <w:pPr>
        <w:ind w:right="40" w:firstLine="1305"/>
        <w:spacing w:after="0" w:line="257" w:lineRule="auto"/>
        <w:tabs>
          <w:tab w:leader="none" w:pos="16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Notwithstanding any contrary provision of this Agreement, no Restricted Shares may be released from the escrow established pursuant to Section 2, unless and until satisfactory arrangements (as reasonably determined by the Company) will have been made by the Shareholder with respect to the payment of any Tax-Related Items obligations of the Shareholder with respect to the Restricted Shares. In this regard, the Shareholder authorizes the Company, or its respective agents, at their reasonable discretion, to satisfy the obligations with regard to all Tax-Related Items by one or a combination of the following:</w:t>
      </w:r>
    </w:p>
    <w:p>
      <w:pPr>
        <w:spacing w:after="0" w:line="188" w:lineRule="exact"/>
        <w:rPr>
          <w:rFonts w:ascii="Arial" w:cs="Arial" w:eastAsia="Arial" w:hAnsi="Arial"/>
          <w:sz w:val="18"/>
          <w:szCs w:val="18"/>
          <w:color w:val="auto"/>
        </w:rPr>
      </w:pPr>
    </w:p>
    <w:p>
      <w:pPr>
        <w:ind w:left="2620" w:hanging="343"/>
        <w:spacing w:after="0"/>
        <w:tabs>
          <w:tab w:leader="none" w:pos="26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paying cash;</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2"/>
          <w:numId w:val="30"/>
        </w:numPr>
        <w:rPr>
          <w:rFonts w:ascii="Arial" w:cs="Arial" w:eastAsia="Arial" w:hAnsi="Arial"/>
          <w:sz w:val="17"/>
          <w:szCs w:val="17"/>
          <w:color w:val="auto"/>
        </w:rPr>
      </w:pPr>
      <w:r>
        <w:rPr>
          <w:rFonts w:ascii="Arial" w:cs="Arial" w:eastAsia="Arial" w:hAnsi="Arial"/>
          <w:sz w:val="17"/>
          <w:szCs w:val="17"/>
          <w:color w:val="auto"/>
        </w:rPr>
        <w:t>withholding from the Shareholder’s wages or other cash compensation paid to the Shareholder by the Company; or</w:t>
      </w:r>
    </w:p>
    <w:p>
      <w:pPr>
        <w:sectPr>
          <w:pgSz w:w="11900" w:h="16838" w:orient="portrait"/>
          <w:cols w:equalWidth="0" w:num="1">
            <w:col w:w="11400"/>
          </w:cols>
          <w:pgMar w:left="240" w:top="125" w:right="259" w:bottom="0" w:gutter="0" w:footer="0" w:header="0"/>
        </w:sectPr>
      </w:pPr>
    </w:p>
    <w:bookmarkStart w:id="40" w:name="page41"/>
    <w:bookmarkEnd w:id="40"/>
    <w:p>
      <w:pPr>
        <w:spacing w:after="0" w:line="68" w:lineRule="exact"/>
        <w:rPr>
          <w:sz w:val="20"/>
          <w:szCs w:val="20"/>
          <w:color w:val="auto"/>
        </w:rPr>
      </w:pPr>
    </w:p>
    <w:p>
      <w:pPr>
        <w:ind w:right="360" w:firstLine="2277"/>
        <w:spacing w:after="0" w:line="277" w:lineRule="auto"/>
        <w:tabs>
          <w:tab w:leader="none" w:pos="26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withhold or sell the Restricted Shares held in the escrow established pursuant to Section 2 having a fair market value equal to the minimum amount required to be withheld.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Notwithstanding the immediately preceding provision, in the event the Shareholder designates the order in which (i), (ii) and (iii) above should be applied to satisfy the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Tax-Related Items, then the Company shall abide by and follow Shareholder’s designation.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Shareholder shall pay to the Company any amount of Tax-Related Items that the Company may be required to withhold with respect to the Restricted Shares that cannot be satisfied by one or more of the means previously described in this Section 6.</w:t>
      </w:r>
    </w:p>
    <w:p>
      <w:pPr>
        <w:spacing w:after="0" w:line="170" w:lineRule="exact"/>
        <w:rPr>
          <w:sz w:val="20"/>
          <w:szCs w:val="20"/>
          <w:color w:val="auto"/>
        </w:rPr>
      </w:pPr>
    </w:p>
    <w:p>
      <w:pPr>
        <w:ind w:firstLine="656"/>
        <w:spacing w:after="0" w:line="253" w:lineRule="auto"/>
        <w:tabs>
          <w:tab w:leader="none" w:pos="9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THE SHAREHOLDER ACKNOWLEDGES AND AGREES THAT THE VESTING OF THE RESTRICTED SHARES PURSUANT TO THE VESTING SCHEDULE HEREOF IS EARNED ONLY BY CONTINUING AS A SERVICE PROVIDER AT THE WILL OF THE COMPANY (OR THE PARENT OR SUBSIDIARY EMPLOYING OR RETAINING THE SHAREHOLDER) AND NOT THROUGH THE ACT OF BEING HIRED, BEING GRANTED THE RIGHT TO PURCHASE SHARES OR ACQUIRING SHARES HEREUNDER. THE SHAREHOLDER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WILL NOT INTERFERE IN ANY WAY WITH THE SHAREHOLDER’S RIGHT OR THE RIGHT OF THE COMPANY (OR THE PARENT OR SUBSIDIARY EMPLOYING OR RETAINING THE SHAREHOLDER) TO TERMINATE THE SHAREHOLDER’S RELATIONSHIP AS A SERVICE PROVIDER AT ANY TIME, WITH OR WITHOUT CAUSE.</w:t>
      </w:r>
    </w:p>
    <w:p>
      <w:pPr>
        <w:spacing w:after="0" w:line="194" w:lineRule="exact"/>
        <w:rPr>
          <w:rFonts w:ascii="Arial" w:cs="Arial" w:eastAsia="Arial" w:hAnsi="Arial"/>
          <w:sz w:val="18"/>
          <w:szCs w:val="18"/>
          <w:color w:val="auto"/>
        </w:rPr>
      </w:pPr>
    </w:p>
    <w:p>
      <w:pPr>
        <w:ind w:right="40" w:firstLine="656"/>
        <w:spacing w:after="0" w:line="277" w:lineRule="auto"/>
        <w:tabs>
          <w:tab w:leader="none" w:pos="9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hereunder shall be given in person or by registered mail to the address of the Shareholder shown on the records of the Company, and to the Company at their respective principal executive offices.</w:t>
      </w:r>
    </w:p>
    <w:p>
      <w:pPr>
        <w:spacing w:after="0" w:line="170" w:lineRule="exact"/>
        <w:rPr>
          <w:rFonts w:ascii="Arial" w:cs="Arial" w:eastAsia="Arial" w:hAnsi="Arial"/>
          <w:sz w:val="18"/>
          <w:szCs w:val="18"/>
          <w:color w:val="auto"/>
        </w:rPr>
      </w:pPr>
    </w:p>
    <w:p>
      <w:pPr>
        <w:ind w:right="180" w:firstLine="656"/>
        <w:spacing w:after="0" w:line="276" w:lineRule="auto"/>
        <w:tabs>
          <w:tab w:leader="none" w:pos="97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Unvested Restricted Shares Not Transferable</w:t>
      </w:r>
      <w:r>
        <w:rPr>
          <w:rFonts w:ascii="Arial" w:cs="Arial" w:eastAsia="Arial" w:hAnsi="Arial"/>
          <w:sz w:val="17"/>
          <w:szCs w:val="17"/>
          <w:color w:val="auto"/>
        </w:rPr>
        <w:t>. Unvested Restricted Shares subject to this Agreement and the rights and privileges conferred hereby cannot not be transferred, assigned, pledged or hypothecated in any way (whether by operation of law or otherwise) and cannot be subject to sale under execution, attachment or similar process. Upon any attempt to transfer, assign, pledge, hypothecate or otherwise dispose of any unvested Restricted Shares subject to this Agreement, or any right or privilege conferred hereby, or upon any attempted sale under any execution, attachment or similar process, this grant and the rights and privileges conferred hereby immediately will become null and void.</w:t>
      </w:r>
    </w:p>
    <w:p>
      <w:pPr>
        <w:spacing w:after="0" w:line="172" w:lineRule="exact"/>
        <w:rPr>
          <w:rFonts w:ascii="Arial" w:cs="Arial" w:eastAsia="Arial" w:hAnsi="Arial"/>
          <w:sz w:val="17"/>
          <w:szCs w:val="17"/>
          <w:color w:val="auto"/>
        </w:rPr>
      </w:pPr>
    </w:p>
    <w:p>
      <w:pPr>
        <w:ind w:right="20" w:firstLine="656"/>
        <w:spacing w:after="0" w:line="264" w:lineRule="auto"/>
        <w:tabs>
          <w:tab w:leader="none" w:pos="96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Release from Escrow</w:t>
      </w:r>
      <w:r>
        <w:rPr>
          <w:rFonts w:ascii="Arial" w:cs="Arial" w:eastAsia="Arial" w:hAnsi="Arial"/>
          <w:sz w:val="18"/>
          <w:szCs w:val="18"/>
          <w:color w:val="auto"/>
        </w:rPr>
        <w:t>. The Company will not be required to cause the release of the Restricted Shares from the escrow established pursuant to Section 2 prior to the expiration of any contractual lock-up agreement to which the Shareholder is subject, including, without limitation, the lock-up provisions contained in Section 11 hereof.</w:t>
      </w:r>
    </w:p>
    <w:p>
      <w:pPr>
        <w:spacing w:after="0" w:line="181" w:lineRule="exact"/>
        <w:rPr>
          <w:rFonts w:ascii="Arial" w:cs="Arial" w:eastAsia="Arial" w:hAnsi="Arial"/>
          <w:sz w:val="18"/>
          <w:szCs w:val="18"/>
          <w:color w:val="auto"/>
        </w:rPr>
      </w:pPr>
    </w:p>
    <w:p>
      <w:pPr>
        <w:ind w:firstLine="656"/>
        <w:spacing w:after="0" w:line="259" w:lineRule="auto"/>
        <w:tabs>
          <w:tab w:leader="none" w:pos="96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 In connection with the initial public offering of the Company’s securities and upon request of the Company or the underwriters managing such offering of the Company’s securities, the Shareholder hereby agrees not to offer, pledge, sell, contract to sell, make any short sale of, loan, grant any option for the purchase of, or otherwise dispose of any securities of the Company however and whenever acquired (other than those included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69"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If the underwriters release or waive any of the foregoing restrictions in connection with a transfer of shares of common stock of the Company,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w:t>
      </w:r>
    </w:p>
    <w:p>
      <w:pPr>
        <w:spacing w:after="0" w:line="189" w:lineRule="exact"/>
        <w:rPr>
          <w:sz w:val="20"/>
          <w:szCs w:val="20"/>
          <w:color w:val="auto"/>
        </w:rPr>
      </w:pPr>
    </w:p>
    <w:p>
      <w:pPr>
        <w:ind w:right="420" w:firstLine="656"/>
        <w:spacing w:after="0" w:line="277" w:lineRule="auto"/>
        <w:tabs>
          <w:tab w:leader="none" w:pos="96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the Shareholder and the Company and their respective permitted assignees and transferees, heirs, legatees, executors, administrators and legal successors.</w:t>
      </w:r>
    </w:p>
    <w:p>
      <w:pPr>
        <w:spacing w:after="0" w:line="170" w:lineRule="exact"/>
        <w:rPr>
          <w:rFonts w:ascii="Arial" w:cs="Arial" w:eastAsia="Arial" w:hAnsi="Arial"/>
          <w:sz w:val="18"/>
          <w:szCs w:val="18"/>
          <w:color w:val="auto"/>
        </w:rPr>
      </w:pPr>
    </w:p>
    <w:p>
      <w:pPr>
        <w:ind w:right="40" w:firstLine="656"/>
        <w:spacing w:after="0" w:line="255" w:lineRule="auto"/>
        <w:tabs>
          <w:tab w:leader="none" w:pos="96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The Shareholder hereby acknowledges that he has been informed that with respect to the Restricted Shares an election (the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xml:space="preserve">”) may be filed by the Shareholder with the Internal Revenue Service, within thirty (30) days of the Closing Date. Absent such an Election, the Shareholder hereby acknowledges that he has been informed that taxable income may result to the Shareholder at the time or times on which the Company’s right to reacquire the Restricted Shares lapses. The Shareholder is strongly encouraged to seek the advice of his own tax consultants in connection with the receipt of the Restricted Shares and the advisability of filing of the Election under Section 83(b) of the Code. A form of Election under Section 83(b) is attached hereto as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for reference.</w:t>
      </w:r>
    </w:p>
    <w:p>
      <w:pPr>
        <w:sectPr>
          <w:pgSz w:w="11900" w:h="16906" w:orient="portrait"/>
          <w:cols w:equalWidth="0" w:num="1">
            <w:col w:w="11400"/>
          </w:cols>
          <w:pgMar w:left="240" w:top="125" w:right="259" w:bottom="0" w:gutter="0" w:footer="0" w:header="0"/>
        </w:sectPr>
      </w:pPr>
    </w:p>
    <w:bookmarkStart w:id="41" w:name="page42"/>
    <w:bookmarkEnd w:id="41"/>
    <w:p>
      <w:pPr>
        <w:ind w:right="100" w:firstLine="648"/>
        <w:spacing w:after="0" w:line="277" w:lineRule="auto"/>
        <w:rPr>
          <w:sz w:val="20"/>
          <w:szCs w:val="20"/>
          <w:color w:val="auto"/>
        </w:rPr>
      </w:pPr>
      <w:r>
        <w:rPr>
          <w:rFonts w:ascii="Arial" w:cs="Arial" w:eastAsia="Arial" w:hAnsi="Arial"/>
          <w:sz w:val="18"/>
          <w:szCs w:val="18"/>
          <w:color w:val="auto"/>
        </w:rPr>
        <w:t>THE SHAREHOLDER ACKNOWLEDGES THAT IT IS THE SHAREHOLDER’S SOLE RESPONSIBILITY AND NOT THE COMPANY’S TO FILE TIMELY THE ELECTION UNDER SECTION 83(b) OF THE CODE, EVEN IF THE SHAREHOLDER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REQUESTS THE COMPANY OR ITS REPRESENTATIVE TO MAKE THIS FILING ON THE SHAREHOLDER’S BEHALF.</w:t>
      </w:r>
    </w:p>
    <w:p>
      <w:pPr>
        <w:spacing w:after="0" w:line="225" w:lineRule="exact"/>
        <w:rPr>
          <w:sz w:val="20"/>
          <w:szCs w:val="20"/>
          <w:color w:val="auto"/>
        </w:rPr>
      </w:pPr>
    </w:p>
    <w:p>
      <w:pPr>
        <w:ind w:right="60" w:firstLine="656"/>
        <w:spacing w:after="0" w:line="259" w:lineRule="auto"/>
        <w:tabs>
          <w:tab w:leader="none" w:pos="96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Shareholder has reviewed with his or her own tax advisors the federal, state, local and foreign tax consequences of this investment and the transactions contemplated by this Agreement. The Shareholder is relying solely on such advisors and not on any statements or representations of the Company or any of its agents. The Shareholder understands that he (and not the Company) shall be responsible for his own tax liability that may arise as a result of this investment or the transactions contemplated by this Agreement.</w:t>
      </w:r>
    </w:p>
    <w:p>
      <w:pPr>
        <w:spacing w:after="0" w:line="186" w:lineRule="exact"/>
        <w:rPr>
          <w:rFonts w:ascii="Arial" w:cs="Arial" w:eastAsia="Arial" w:hAnsi="Arial"/>
          <w:sz w:val="18"/>
          <w:szCs w:val="18"/>
          <w:color w:val="auto"/>
        </w:rPr>
      </w:pPr>
    </w:p>
    <w:p>
      <w:pPr>
        <w:ind w:right="100" w:firstLine="656"/>
        <w:spacing w:after="0" w:line="279" w:lineRule="auto"/>
        <w:tabs>
          <w:tab w:leader="none" w:pos="96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Agreement, Shareholder’s Employment Agreement, and Shareholder’s Severance and Change In Control Agreement constitute the entire understanding of the parties on the subjects covered. The Shareholder expressly warrants that he is not accepting this Agreement in reliance on any promises, representations, or inducements other than those contained herein or therein. Modifications to this Agreement can be made only in an express written contract executed by a duly authorized officer of the Company.</w:t>
      </w:r>
    </w:p>
    <w:p>
      <w:pPr>
        <w:spacing w:after="0" w:line="171" w:lineRule="exact"/>
        <w:rPr>
          <w:rFonts w:ascii="Arial" w:cs="Arial" w:eastAsia="Arial" w:hAnsi="Arial"/>
          <w:sz w:val="17"/>
          <w:szCs w:val="17"/>
          <w:color w:val="auto"/>
        </w:rPr>
      </w:pPr>
    </w:p>
    <w:p>
      <w:pPr>
        <w:ind w:right="60" w:firstLine="656"/>
        <w:spacing w:after="0" w:line="253" w:lineRule="auto"/>
        <w:tabs>
          <w:tab w:leader="none" w:pos="96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This Agreement will be governed by the laws of the State of New York, without giving effect to the conflict of law principles thereof. For purposes of litigating any dispute that arises under this Agreement, the parties hereby submit to and consent to the jurisdiction of the Supreme Court of the State of New York for New York County and/or the United States District Court for the Southern District of New York, to the extent subject matter jurisdiction exists therefore, and the parties irrevocably submit to the jurisdiction of both such courts in respect of any such action or proceeding. The parties irrevocably waive, to the fullest extent permitted by law, any objection that they may now or hereafter nave to the laying of venue of any such action or proceeding brought in the courts of the State of New York and/or the United States District Court for the Southern District of New York, and any claim that any such action or proceeding brought in any such court has been brought in an inconvenient forum. Any judgment may be entered in any court having jurisdiction thereof. This Agreement supersedes in its entirety the Grant Agreement with respect to the term and conditions regarding the vesting of the Restricted Shares.</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Shareholder represents that he has read this Agreement and is familiar with its terms and provisions. The Shareholder hereby agrees to accept as binding, conclusive and final all decisions or interpretations of the Board upon any questions arising under this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deemed made as of the date first set forth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THE SHAREHOLDER</w:t>
            </w:r>
          </w:p>
        </w:tc>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SHUTTERSTOCK, INC.</w:t>
            </w:r>
          </w:p>
        </w:tc>
        <w:tc>
          <w:tcPr>
            <w:tcW w:w="40" w:type="dxa"/>
            <w:vAlign w:val="bottom"/>
          </w:tcPr>
          <w:p>
            <w:pPr>
              <w:spacing w:after="0"/>
              <w:rPr>
                <w:sz w:val="20"/>
                <w:szCs w:val="20"/>
                <w:color w:val="auto"/>
              </w:rPr>
            </w:pPr>
          </w:p>
        </w:tc>
      </w:tr>
      <w:tr>
        <w:trPr>
          <w:trHeight w:val="648"/>
        </w:trPr>
        <w:tc>
          <w:tcPr>
            <w:tcW w:w="2760" w:type="dxa"/>
            <w:vAlign w:val="bottom"/>
            <w:gridSpan w:val="2"/>
          </w:tcPr>
          <w:p>
            <w:pPr>
              <w:spacing w:after="0"/>
              <w:rPr>
                <w:sz w:val="20"/>
                <w:szCs w:val="20"/>
                <w:color w:val="auto"/>
              </w:rPr>
            </w:pPr>
            <w:r>
              <w:rPr>
                <w:rFonts w:ascii="Arial" w:cs="Arial" w:eastAsia="Arial" w:hAnsi="Arial"/>
                <w:sz w:val="18"/>
                <w:szCs w:val="18"/>
                <w:color w:val="auto"/>
              </w:rPr>
              <w:t>/s/ Thilo Semmelbauer</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2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r>
      <w:tr>
        <w:trPr>
          <w:trHeight w:val="418"/>
        </w:trPr>
        <w:tc>
          <w:tcPr>
            <w:tcW w:w="2760" w:type="dxa"/>
            <w:vAlign w:val="bottom"/>
            <w:gridSpan w:val="2"/>
          </w:tcPr>
          <w:p>
            <w:pPr>
              <w:spacing w:after="0"/>
              <w:rPr>
                <w:sz w:val="20"/>
                <w:szCs w:val="20"/>
                <w:color w:val="auto"/>
              </w:rPr>
            </w:pPr>
            <w:r>
              <w:rPr>
                <w:rFonts w:ascii="Arial" w:cs="Arial" w:eastAsia="Arial" w:hAnsi="Arial"/>
                <w:sz w:val="18"/>
                <w:szCs w:val="18"/>
                <w:color w:val="auto"/>
              </w:rPr>
              <w:t>Thilo Semmelbauer</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25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634"/>
        </w:trPr>
        <w:tc>
          <w:tcPr>
            <w:tcW w:w="2760" w:type="dxa"/>
            <w:vAlign w:val="bottom"/>
            <w:gridSpan w:val="2"/>
          </w:tcPr>
          <w:p>
            <w:pPr>
              <w:spacing w:after="0"/>
              <w:rPr>
                <w:sz w:val="20"/>
                <w:szCs w:val="20"/>
                <w:color w:val="auto"/>
              </w:rPr>
            </w:pPr>
            <w:r>
              <w:rPr>
                <w:rFonts w:ascii="Arial" w:cs="Arial" w:eastAsia="Arial" w:hAnsi="Arial"/>
                <w:sz w:val="18"/>
                <w:szCs w:val="18"/>
                <w:color w:val="auto"/>
              </w:rPr>
              <w:t>Dated: October 5, 2012</w:t>
            </w: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20" w:type="dxa"/>
            <w:vAlign w:val="bottom"/>
            <w:gridSpan w:val="3"/>
          </w:tcPr>
          <w:p>
            <w:pPr>
              <w:jc w:val="center"/>
              <w:ind w:left="2590"/>
              <w:spacing w:after="0"/>
              <w:rPr>
                <w:sz w:val="20"/>
                <w:szCs w:val="20"/>
                <w:color w:val="auto"/>
              </w:rPr>
            </w:pPr>
            <w:r>
              <w:rPr>
                <w:rFonts w:ascii="Arial" w:cs="Arial" w:eastAsia="Arial" w:hAnsi="Arial"/>
                <w:sz w:val="18"/>
                <w:szCs w:val="18"/>
                <w:color w:val="auto"/>
                <w:w w:val="99"/>
              </w:rPr>
              <w:t>8</w:t>
            </w:r>
          </w:p>
        </w:tc>
        <w:tc>
          <w:tcPr>
            <w:tcW w:w="1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gridSpan w:val="3"/>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4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160" w:type="dxa"/>
            <w:vAlign w:val="bottom"/>
            <w:gridSpan w:val="4"/>
          </w:tcPr>
          <w:p>
            <w:pPr>
              <w:jc w:val="center"/>
              <w:ind w:right="5260"/>
              <w:spacing w:after="0"/>
              <w:rPr>
                <w:sz w:val="20"/>
                <w:szCs w:val="20"/>
                <w:color w:val="auto"/>
              </w:rPr>
            </w:pPr>
            <w:r>
              <w:rPr>
                <w:rFonts w:ascii="Arial" w:cs="Arial" w:eastAsia="Arial" w:hAnsi="Arial"/>
                <w:sz w:val="18"/>
                <w:szCs w:val="18"/>
                <w:b w:val="1"/>
                <w:bCs w:val="1"/>
                <w:color w:val="auto"/>
              </w:rPr>
              <w:t>EXHIBIT 1</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66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auto"/>
              </w:rPr>
              <w:t>ELECTION UNDER SECTION 83(b)</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66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auto"/>
                <w:w w:val="99"/>
              </w:rPr>
              <w:t>OF THE INTERNAL REVENUE CODE OF 1986</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81"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225" w:lineRule="exact"/>
        <w:rPr>
          <w:sz w:val="20"/>
          <w:szCs w:val="20"/>
          <w:color w:val="auto"/>
        </w:rPr>
      </w:pPr>
    </w:p>
    <w:p>
      <w:pPr>
        <w:ind w:left="3060"/>
        <w:spacing w:after="0"/>
        <w:tabs>
          <w:tab w:leader="none" w:pos="6840" w:val="left"/>
        </w:tabs>
        <w:rPr>
          <w:sz w:val="20"/>
          <w:szCs w:val="20"/>
          <w:color w:val="auto"/>
        </w:rPr>
      </w:pPr>
      <w:r>
        <w:rPr>
          <w:rFonts w:ascii="Arial" w:cs="Arial" w:eastAsia="Arial" w:hAnsi="Arial"/>
          <w:sz w:val="18"/>
          <w:szCs w:val="18"/>
          <w:color w:val="auto"/>
        </w:rPr>
        <w:t>TAXPAYER</w:t>
      </w:r>
      <w:r>
        <w:rPr>
          <w:sz w:val="20"/>
          <w:szCs w:val="20"/>
          <w:color w:val="auto"/>
        </w:rPr>
        <w:tab/>
      </w:r>
      <w:r>
        <w:rPr>
          <w:rFonts w:ascii="Arial" w:cs="Arial" w:eastAsia="Arial" w:hAnsi="Arial"/>
          <w:sz w:val="18"/>
          <w:szCs w:val="18"/>
          <w:color w:val="auto"/>
        </w:rPr>
        <w:t>SPOUSE</w:t>
      </w:r>
    </w:p>
    <w:p>
      <w:pPr>
        <w:spacing w:after="0" w:line="225" w:lineRule="exact"/>
        <w:rPr>
          <w:sz w:val="20"/>
          <w:szCs w:val="20"/>
          <w:color w:val="auto"/>
        </w:rPr>
      </w:pPr>
    </w:p>
    <w:p>
      <w:pPr>
        <w:ind w:left="860"/>
        <w:spacing w:after="0"/>
        <w:tabs>
          <w:tab w:leader="none" w:pos="3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Thilo Semmelbauer</w:t>
      </w:r>
    </w:p>
    <w:p>
      <w:pPr>
        <w:sectPr>
          <w:pgSz w:w="11900" w:h="16838" w:orient="portrait"/>
          <w:cols w:equalWidth="0" w:num="1">
            <w:col w:w="11460"/>
          </w:cols>
          <w:pgMar w:left="240" w:top="341" w:right="199" w:bottom="0" w:gutter="0" w:footer="0" w:header="0"/>
        </w:sectPr>
      </w:pPr>
    </w:p>
    <w:bookmarkStart w:id="42" w:name="page43"/>
    <w:bookmarkEnd w:id="42"/>
    <w:p>
      <w:pPr>
        <w:ind w:left="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TAX ID NO.:</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TAXABLE YEAR:</w:t>
            </w:r>
          </w:p>
        </w:tc>
        <w:tc>
          <w:tcPr>
            <w:tcW w:w="760" w:type="dxa"/>
            <w:vAlign w:val="bottom"/>
          </w:tcPr>
          <w:p>
            <w:pPr>
              <w:jc w:val="right"/>
              <w:spacing w:after="0"/>
              <w:rPr>
                <w:sz w:val="20"/>
                <w:szCs w:val="20"/>
                <w:color w:val="auto"/>
              </w:rPr>
            </w:pPr>
            <w:r>
              <w:rPr>
                <w:rFonts w:ascii="Arial" w:cs="Arial" w:eastAsia="Arial" w:hAnsi="Arial"/>
                <w:sz w:val="18"/>
                <w:szCs w:val="18"/>
                <w:color w:val="auto"/>
              </w:rPr>
              <w:t>2012</w:t>
            </w:r>
          </w:p>
        </w:tc>
      </w:tr>
    </w:tbl>
    <w:p>
      <w:pPr>
        <w:spacing w:after="0" w:line="200" w:lineRule="exact"/>
        <w:rPr>
          <w:sz w:val="20"/>
          <w:szCs w:val="20"/>
          <w:color w:val="auto"/>
        </w:rPr>
      </w:pPr>
    </w:p>
    <w:p>
      <w:pPr>
        <w:spacing w:after="0" w:line="218" w:lineRule="exact"/>
        <w:rPr>
          <w:sz w:val="20"/>
          <w:szCs w:val="20"/>
          <w:color w:val="auto"/>
        </w:rPr>
      </w:pPr>
    </w:p>
    <w:p>
      <w:pPr>
        <w:ind w:left="660" w:right="1020" w:hanging="652"/>
        <w:spacing w:after="0" w:line="277" w:lineRule="auto"/>
        <w:tabs>
          <w:tab w:leader="none" w:pos="6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228,079 shares (the “Shares”) of the Common Stock of Shutterstock,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property was transferred is: October 5, 2012.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225" w:lineRule="exact"/>
        <w:rPr>
          <w:rFonts w:ascii="Arial" w:cs="Arial" w:eastAsia="Arial" w:hAnsi="Arial"/>
          <w:sz w:val="18"/>
          <w:szCs w:val="18"/>
          <w:color w:val="auto"/>
        </w:rPr>
      </w:pPr>
    </w:p>
    <w:p>
      <w:pPr>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Shares may not be transferred and are subject to forfeiture upon termination of taxpayer’s service relationship with the Company under the terms of an agreement between the taxpayer and the Company. These restrictions lapse upon the satisfaction of certain conditions contained in such agreement.</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Fair Market Value at the time of transfer, determined without regard to any restriction other than a restriction which by its terms shall never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740" w:type="dxa"/>
            <w:vAlign w:val="bottom"/>
          </w:tcPr>
          <w:p>
            <w:pPr>
              <w:ind w:left="260"/>
              <w:spacing w:after="0"/>
              <w:rPr>
                <w:sz w:val="20"/>
                <w:szCs w:val="20"/>
                <w:color w:val="auto"/>
              </w:rPr>
            </w:pPr>
            <w:r>
              <w:rPr>
                <w:rFonts w:ascii="Arial" w:cs="Arial" w:eastAsia="Arial" w:hAnsi="Arial"/>
                <w:sz w:val="18"/>
                <w:szCs w:val="18"/>
                <w:color w:val="auto"/>
              </w:rPr>
              <w:t>lapse, of such property is: $</w:t>
            </w:r>
          </w:p>
        </w:tc>
        <w:tc>
          <w:tcPr>
            <w:tcW w:w="14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580" w:type="dxa"/>
            <w:vAlign w:val="bottom"/>
          </w:tcPr>
          <w:p>
            <w:pPr>
              <w:spacing w:after="0"/>
              <w:rPr>
                <w:sz w:val="20"/>
                <w:szCs w:val="20"/>
                <w:color w:val="auto"/>
              </w:rPr>
            </w:pPr>
          </w:p>
        </w:tc>
      </w:tr>
      <w:tr>
        <w:trPr>
          <w:trHeight w:val="40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The amount (if any) paid for such property is: $</w:t>
            </w:r>
          </w:p>
        </w:tc>
        <w:tc>
          <w:tcPr>
            <w:tcW w:w="6580" w:type="dxa"/>
            <w:vAlign w:val="bottom"/>
          </w:tcPr>
          <w:p>
            <w:pPr>
              <w:ind w:left="440"/>
              <w:spacing w:after="0"/>
              <w:rPr>
                <w:sz w:val="20"/>
                <w:szCs w:val="20"/>
                <w:color w:val="auto"/>
              </w:rPr>
            </w:pPr>
            <w:r>
              <w:rPr>
                <w:rFonts w:ascii="Arial" w:cs="Arial" w:eastAsia="Arial" w:hAnsi="Arial"/>
                <w:sz w:val="18"/>
                <w:szCs w:val="18"/>
                <w:color w:val="auto"/>
                <w:w w:val="91"/>
              </w:rPr>
              <w:t>, paid for with property with equivalent value in a transaction intended to qualify as a</w:t>
            </w:r>
          </w:p>
        </w:tc>
      </w:tr>
      <w:tr>
        <w:trPr>
          <w:trHeight w:val="230"/>
        </w:trPr>
        <w:tc>
          <w:tcPr>
            <w:tcW w:w="400" w:type="dxa"/>
            <w:vAlign w:val="bottom"/>
          </w:tcPr>
          <w:p>
            <w:pPr>
              <w:spacing w:after="0"/>
              <w:rPr>
                <w:sz w:val="20"/>
                <w:szCs w:val="20"/>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tax-free exchange of property for stock pursuant to Section 351 of the Internal Revenue Code of 1986, as amended.</w:t>
            </w: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Dated: October</w:t>
            </w:r>
          </w:p>
        </w:tc>
        <w:tc>
          <w:tcPr>
            <w:tcW w:w="640" w:type="dxa"/>
            <w:vAlign w:val="bottom"/>
          </w:tcPr>
          <w:p>
            <w:pPr>
              <w:jc w:val="right"/>
              <w:spacing w:after="0"/>
              <w:rPr>
                <w:sz w:val="20"/>
                <w:szCs w:val="20"/>
                <w:color w:val="auto"/>
              </w:rPr>
            </w:pPr>
            <w:r>
              <w:rPr>
                <w:rFonts w:ascii="Arial" w:cs="Arial" w:eastAsia="Arial" w:hAnsi="Arial"/>
                <w:sz w:val="18"/>
                <w:szCs w:val="18"/>
                <w:color w:val="auto"/>
              </w:rPr>
              <w:t>, 2012</w:t>
            </w:r>
          </w:p>
        </w:tc>
      </w:tr>
    </w:tbl>
    <w:p>
      <w:pPr>
        <w:ind w:left="5720"/>
        <w:spacing w:after="0"/>
        <w:rPr>
          <w:sz w:val="20"/>
          <w:szCs w:val="20"/>
          <w:color w:val="auto"/>
        </w:rPr>
      </w:pPr>
      <w:r>
        <w:rPr>
          <w:rFonts w:ascii="Arial" w:cs="Arial" w:eastAsia="Arial" w:hAnsi="Arial"/>
          <w:sz w:val="18"/>
          <w:szCs w:val="18"/>
          <w:color w:val="auto"/>
        </w:rPr>
        <w:t>Thilo Semmelbauer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spouse of taxpayer joins in this election.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Dated: October</w:t>
            </w:r>
          </w:p>
        </w:tc>
        <w:tc>
          <w:tcPr>
            <w:tcW w:w="640" w:type="dxa"/>
            <w:vAlign w:val="bottom"/>
          </w:tcPr>
          <w:p>
            <w:pPr>
              <w:jc w:val="right"/>
              <w:spacing w:after="0"/>
              <w:rPr>
                <w:sz w:val="20"/>
                <w:szCs w:val="20"/>
                <w:color w:val="auto"/>
              </w:rPr>
            </w:pPr>
            <w:r>
              <w:rPr>
                <w:rFonts w:ascii="Arial" w:cs="Arial" w:eastAsia="Arial" w:hAnsi="Arial"/>
                <w:sz w:val="18"/>
                <w:szCs w:val="18"/>
                <w:color w:val="auto"/>
              </w:rPr>
              <w:t>, 2012</w:t>
            </w:r>
          </w:p>
        </w:tc>
      </w:tr>
    </w:tbl>
    <w:p>
      <w:pPr>
        <w:ind w:left="5720"/>
        <w:spacing w:after="0"/>
        <w:rPr>
          <w:sz w:val="20"/>
          <w:szCs w:val="20"/>
          <w:color w:val="auto"/>
        </w:rPr>
      </w:pPr>
      <w:r>
        <w:rPr>
          <w:rFonts w:ascii="Arial" w:cs="Arial" w:eastAsia="Arial" w:hAnsi="Arial"/>
          <w:sz w:val="18"/>
          <w:szCs w:val="18"/>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November 20, 2012</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November 20, 2012</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5" w:name="page46"/>
    <w:bookmarkEnd w:id="45"/>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Shutterstock, Inc., for the quarterly period ended September 30, 2012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November 20, 2012</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6" w:name="page47"/>
    <w:bookmarkEnd w:id="46"/>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Quarterly Report on Form 10-Q of Shutterstock, Inc., for the quarterly period ended September 30, 2012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November 20, 2012</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upperLetter"/>
      <w:start w:val="1"/>
    </w:lvl>
  </w:abstractNum>
  <w:abstractNum w:abstractNumId="24">
    <w:nsid w:val="737B8DDC"/>
    <w:multiLevelType w:val="hybridMultilevel"/>
    <w:lvl w:ilvl="0">
      <w:lvlJc w:val="left"/>
      <w:lvlText w:val="%1."/>
      <w:numFmt w:val="upperLetter"/>
      <w:start w:val="3"/>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decimal"/>
      <w:start w:val="3"/>
    </w:lvl>
  </w:abstractNum>
  <w:abstractNum w:abstractNumId="27">
    <w:nsid w:val="4516DDE9"/>
    <w:multiLevelType w:val="hybridMultilevel"/>
    <w:lvl w:ilvl="0">
      <w:lvlJc w:val="left"/>
      <w:lvlText w:val="%1."/>
      <w:numFmt w:val="decimal"/>
      <w:start w:val="4"/>
    </w:lvl>
    <w:lvl w:ilvl="1">
      <w:lvlJc w:val="left"/>
      <w:lvlText w:val="(%2)"/>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
    <w:nsid w:val="419AC241"/>
    <w:multiLevelType w:val="hybridMultilevel"/>
    <w:lvl w:ilvl="0">
      <w:lvlJc w:val="left"/>
      <w:lvlText w:val="(%1)"/>
      <w:numFmt w:val="lowerRoman"/>
      <w:start w:val="3"/>
    </w:lvl>
  </w:abstractNum>
  <w:abstractNum w:abstractNumId="31">
    <w:nsid w:val="5577F8E1"/>
    <w:multiLevelType w:val="hybridMultilevel"/>
    <w:lvl w:ilvl="0">
      <w:lvlJc w:val="left"/>
      <w:lvlText w:val="%1."/>
      <w:numFmt w:val="decimal"/>
      <w:start w:val="7"/>
    </w:lvl>
  </w:abstractNum>
  <w:abstractNum w:abstractNumId="32">
    <w:nsid w:val="440BADFC"/>
    <w:multiLevelType w:val="hybridMultilevel"/>
    <w:lvl w:ilvl="0">
      <w:lvlJc w:val="left"/>
      <w:lvlText w:val="%1."/>
      <w:numFmt w:val="decimal"/>
      <w:start w:val="12"/>
    </w:lvl>
  </w:abstractNum>
  <w:abstractNum w:abstractNumId="33">
    <w:nsid w:val="5072367"/>
    <w:multiLevelType w:val="hybridMultilevel"/>
    <w:lvl w:ilvl="0">
      <w:lvlJc w:val="left"/>
      <w:lvlText w:val="%1."/>
      <w:numFmt w:val="decimal"/>
      <w:start w:val="1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2"/>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2019-12-09T21:37:06Z</dcterms:created>
  <dcterms:modified xsi:type="dcterms:W3CDTF">2019-12-09T21:37:06Z</dcterms:modified>
</cp:coreProperties>
</file>