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99060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4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46990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44"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31750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6"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46990</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30480</wp:posOffset>
            </wp:positionV>
            <wp:extent cx="7135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71" w:lineRule="exact"/>
        <w:rPr>
          <w:sz w:val="24"/>
          <w:szCs w:val="24"/>
          <w:color w:val="auto"/>
        </w:rPr>
      </w:pPr>
    </w:p>
    <w:tbl>
      <w:tblPr>
        <w:tblLayout w:type="fixed"/>
        <w:tblInd w:w="820" w:type="dxa"/>
        <w:tblCellMar>
          <w:top w:w="0" w:type="dxa"/>
          <w:left w:w="0" w:type="dxa"/>
          <w:bottom w:w="0" w:type="dxa"/>
          <w:right w:w="0" w:type="dxa"/>
        </w:tblCellMar>
      </w:tblPr>
      <w:tr>
        <w:trPr>
          <w:trHeight w:val="230"/>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7"/>
              </w:rPr>
              <w:t>001-35669</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8"/>
                <w:szCs w:val="18"/>
                <w:b w:val="1"/>
                <w:bCs w:val="1"/>
                <w:color w:val="auto"/>
                <w:w w:val="96"/>
              </w:rPr>
              <w:t>80-0812659</w:t>
            </w:r>
          </w:p>
        </w:tc>
      </w:tr>
      <w:tr>
        <w:trPr>
          <w:trHeight w:val="189"/>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w:t>
            </w:r>
          </w:p>
        </w:tc>
        <w:tc>
          <w:tcPr>
            <w:tcW w:w="1700" w:type="dxa"/>
            <w:vAlign w:val="bottom"/>
          </w:tcPr>
          <w:p>
            <w:pPr>
              <w:jc w:val="center"/>
              <w:ind w:left="60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of incorporation)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File Number)</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424"/>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6"/>
              </w:rPr>
              <w:t>350 Fifth Avenue, 20th Floor</w:t>
            </w:r>
          </w:p>
        </w:tc>
        <w:tc>
          <w:tcPr>
            <w:tcW w:w="1700" w:type="dxa"/>
            <w:vAlign w:val="bottom"/>
          </w:tcPr>
          <w:p>
            <w:pPr>
              <w:spacing w:after="0"/>
              <w:rPr>
                <w:sz w:val="24"/>
                <w:szCs w:val="24"/>
                <w:color w:val="auto"/>
              </w:rPr>
            </w:pPr>
          </w:p>
        </w:tc>
      </w:tr>
      <w:tr>
        <w:trPr>
          <w:trHeight w:val="213"/>
        </w:trPr>
        <w:tc>
          <w:tcPr>
            <w:tcW w:w="2040" w:type="dxa"/>
            <w:vAlign w:val="bottom"/>
          </w:tcPr>
          <w:p>
            <w:pPr>
              <w:spacing w:after="0"/>
              <w:rPr>
                <w:sz w:val="18"/>
                <w:szCs w:val="18"/>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5"/>
              </w:rPr>
              <w:t>New York, NY 10118</w:t>
            </w:r>
          </w:p>
        </w:tc>
        <w:tc>
          <w:tcPr>
            <w:tcW w:w="1700" w:type="dxa"/>
            <w:vAlign w:val="bottom"/>
          </w:tcPr>
          <w:p>
            <w:pPr>
              <w:spacing w:after="0"/>
              <w:rPr>
                <w:sz w:val="18"/>
                <w:szCs w:val="18"/>
                <w:color w:val="auto"/>
              </w:rPr>
            </w:pPr>
          </w:p>
        </w:tc>
      </w:tr>
      <w:tr>
        <w:trPr>
          <w:trHeight w:val="228"/>
        </w:trPr>
        <w:tc>
          <w:tcPr>
            <w:tcW w:w="2040" w:type="dxa"/>
            <w:vAlign w:val="bottom"/>
          </w:tcPr>
          <w:p>
            <w:pPr>
              <w:spacing w:after="0"/>
              <w:rPr>
                <w:sz w:val="19"/>
                <w:szCs w:val="19"/>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(Address of principal executive offices, including zip code)</w:t>
            </w:r>
          </w:p>
        </w:tc>
        <w:tc>
          <w:tcPr>
            <w:tcW w:w="1700" w:type="dxa"/>
            <w:vAlign w:val="bottom"/>
          </w:tcPr>
          <w:p>
            <w:pPr>
              <w:spacing w:after="0"/>
              <w:rPr>
                <w:sz w:val="19"/>
                <w:szCs w:val="19"/>
                <w:color w:val="auto"/>
              </w:rPr>
            </w:pPr>
          </w:p>
        </w:tc>
      </w:tr>
      <w:tr>
        <w:trPr>
          <w:trHeight w:val="316"/>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Times New Roman" w:cs="Times New Roman" w:eastAsia="Times New Roman" w:hAnsi="Times New Roman"/>
                <w:sz w:val="18"/>
                <w:szCs w:val="18"/>
                <w:color w:val="auto"/>
                <w:w w:val="97"/>
              </w:rPr>
              <w:t>(646) 710-3417</w:t>
            </w:r>
          </w:p>
        </w:tc>
        <w:tc>
          <w:tcPr>
            <w:tcW w:w="1700" w:type="dxa"/>
            <w:vAlign w:val="bottom"/>
          </w:tcPr>
          <w:p>
            <w:pPr>
              <w:spacing w:after="0"/>
              <w:rPr>
                <w:sz w:val="24"/>
                <w:szCs w:val="24"/>
                <w:color w:val="auto"/>
              </w:rPr>
            </w:pPr>
          </w:p>
        </w:tc>
      </w:tr>
    </w:tbl>
    <w:p>
      <w:pPr>
        <w:spacing w:after="0" w:line="8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w:t>
      </w:r>
    </w:p>
    <w:p>
      <w:pPr>
        <w:spacing w:after="0" w:line="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provisions:</w:t>
      </w:r>
    </w:p>
    <w:p>
      <w:pPr>
        <w:ind w:left="840" w:hanging="580"/>
        <w:spacing w:after="0" w:line="182" w:lineRule="auto"/>
        <w:tabs>
          <w:tab w:leader="none" w:pos="840" w:val="left"/>
        </w:tabs>
        <w:numPr>
          <w:ilvl w:val="0"/>
          <w:numId w:val="1"/>
        </w:numPr>
        <w:rPr>
          <w:rFonts w:ascii="MS PGothic" w:cs="MS PGothic" w:eastAsia="MS PGothic" w:hAnsi="MS PGothic"/>
          <w:sz w:val="35"/>
          <w:szCs w:val="35"/>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5" w:lineRule="exact"/>
        <w:rPr>
          <w:sz w:val="24"/>
          <w:szCs w:val="24"/>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7"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1" w:lineRule="exact"/>
        <w:rPr>
          <w:sz w:val="24"/>
          <w:szCs w:val="24"/>
          <w:color w:val="auto"/>
        </w:rPr>
      </w:pPr>
    </w:p>
    <w:tbl>
      <w:tblPr>
        <w:tblLayout w:type="fixed"/>
        <w:tblInd w:w="280" w:type="dxa"/>
        <w:tblCellMar>
          <w:top w:w="0" w:type="dxa"/>
          <w:left w:w="0" w:type="dxa"/>
          <w:bottom w:w="0" w:type="dxa"/>
          <w:right w:w="0" w:type="dxa"/>
        </w:tblCellMar>
      </w:tblPr>
      <w:tr>
        <w:trPr>
          <w:trHeight w:val="200"/>
        </w:trPr>
        <w:tc>
          <w:tcPr>
            <w:tcW w:w="438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37"/>
        </w:trPr>
        <w:tc>
          <w:tcPr>
            <w:tcW w:w="438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180"/>
        </w:trPr>
        <w:tc>
          <w:tcPr>
            <w:tcW w:w="438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SSTK</w:t>
            </w:r>
          </w:p>
        </w:tc>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255" w:lineRule="exact"/>
        <w:rPr>
          <w:sz w:val="24"/>
          <w:szCs w:val="24"/>
          <w:color w:val="auto"/>
        </w:rPr>
      </w:pPr>
    </w:p>
    <w:p>
      <w:pPr>
        <w:ind w:left="620" w:right="160"/>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620" w:hanging="458"/>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08" w:lineRule="exact"/>
        <w:rPr>
          <w:rFonts w:ascii="MS PGothic" w:cs="MS PGothic" w:eastAsia="MS PGothic" w:hAnsi="MS PGothic"/>
          <w:sz w:val="18"/>
          <w:szCs w:val="18"/>
          <w:color w:val="auto"/>
        </w:rPr>
      </w:pPr>
    </w:p>
    <w:p>
      <w:pPr>
        <w:ind w:left="620" w:right="160" w:hanging="458"/>
        <w:spacing w:after="0" w:line="268" w:lineRule="auto"/>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-85090</wp:posOffset>
            </wp:positionH>
            <wp:positionV relativeFrom="paragraph">
              <wp:posOffset>1101090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102235</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77470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440" w:top="1440" w:right="2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03" w:lineRule="exact"/>
        <w:rPr>
          <w:sz w:val="20"/>
          <w:szCs w:val="20"/>
          <w:color w:val="auto"/>
        </w:rPr>
      </w:pPr>
    </w:p>
    <w:p>
      <w:pPr>
        <w:ind w:right="820" w:firstLine="439"/>
        <w:spacing w:after="0" w:line="332" w:lineRule="auto"/>
        <w:rPr>
          <w:sz w:val="20"/>
          <w:szCs w:val="20"/>
          <w:color w:val="auto"/>
        </w:rPr>
      </w:pPr>
      <w:r>
        <w:rPr>
          <w:rFonts w:ascii="Times New Roman" w:cs="Times New Roman" w:eastAsia="Times New Roman" w:hAnsi="Times New Roman"/>
          <w:sz w:val="16"/>
          <w:szCs w:val="16"/>
          <w:color w:val="auto"/>
        </w:rPr>
        <w:t>On February 17, 2026, Shutterstock, Inc. (the “Company”) issued a press release announcing its financial results for the fiscal period ended December 31, 2025. A copy of the press release is furnished as Exhibit 99.1 to this current report and is incorporated herein by reference.</w:t>
      </w:r>
    </w:p>
    <w:p>
      <w:pPr>
        <w:spacing w:after="0" w:line="17"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16"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provided above in “Item 2.02 Results of Operations and Financial Condition” is incorporated by reference in this Item 7.01.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88" w:lineRule="exact"/>
        <w:rPr>
          <w:sz w:val="20"/>
          <w:szCs w:val="20"/>
          <w:color w:val="auto"/>
        </w:rPr>
      </w:pPr>
    </w:p>
    <w:p>
      <w:pPr>
        <w:ind w:left="740" w:hanging="340"/>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20"/>
        <w:spacing w:after="0"/>
        <w:tabs>
          <w:tab w:leader="none" w:pos="54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30480</wp:posOffset>
            </wp:positionV>
            <wp:extent cx="6358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8890" cy="8255"/>
                    </a:xfrm>
                    <a:prstGeom prst="rect">
                      <a:avLst/>
                    </a:prstGeom>
                    <a:noFill/>
                  </pic:spPr>
                </pic:pic>
              </a:graphicData>
            </a:graphic>
          </wp:anchor>
        </w:drawing>
      </w:r>
    </w:p>
    <w:p>
      <w:pPr>
        <w:spacing w:after="0" w:line="259" w:lineRule="exact"/>
        <w:rPr>
          <w:sz w:val="20"/>
          <w:szCs w:val="20"/>
          <w:color w:val="auto"/>
        </w:rPr>
      </w:pPr>
    </w:p>
    <w:p>
      <w:pPr>
        <w:ind w:left="820"/>
        <w:spacing w:after="0"/>
        <w:tabs>
          <w:tab w:leader="none" w:pos="1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u w:val="single" w:color="auto"/>
          <w:color w:val="0000FF"/>
        </w:rPr>
        <w:t>Press release entitled “Shutterstock Reports Full Year 2025 and Fourth Quarter Financial Results” dated February 17, 2026</w:t>
      </w:r>
    </w:p>
    <w:p>
      <w:pPr>
        <w:spacing w:after="0" w:line="69" w:lineRule="exact"/>
        <w:rPr>
          <w:sz w:val="20"/>
          <w:szCs w:val="20"/>
          <w:color w:val="auto"/>
        </w:rPr>
      </w:pPr>
    </w:p>
    <w:p>
      <w:pPr>
        <w:ind w:left="840"/>
        <w:spacing w:after="0"/>
        <w:tabs>
          <w:tab w:leader="none" w:pos="1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995680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2" w:name="page3"/>
    <w:bookmarkEnd w:id="2"/>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3" w:lineRule="exact"/>
        <w:rPr>
          <w:sz w:val="20"/>
          <w:szCs w:val="20"/>
          <w:color w:val="auto"/>
        </w:rPr>
      </w:pPr>
    </w:p>
    <w:p>
      <w:pPr>
        <w:ind w:right="780" w:firstLine="439"/>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800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40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17, 2026</w:t>
            </w:r>
          </w:p>
        </w:tc>
        <w:tc>
          <w:tcPr>
            <w:tcW w:w="20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Rik Powell</w:t>
            </w:r>
          </w:p>
        </w:tc>
      </w:tr>
      <w:tr>
        <w:trPr>
          <w:trHeight w:val="212"/>
        </w:trPr>
        <w:tc>
          <w:tcPr>
            <w:tcW w:w="3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Rik Powell</w:t>
            </w:r>
          </w:p>
        </w:tc>
      </w:tr>
      <w:tr>
        <w:trPr>
          <w:trHeight w:val="228"/>
        </w:trPr>
        <w:tc>
          <w:tcPr>
            <w:tcW w:w="3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81915</wp:posOffset>
            </wp:positionV>
            <wp:extent cx="4570730" cy="735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0730"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Reports Full Year 2025 and Fourth Quarter Financial Results</w:t>
      </w:r>
    </w:p>
    <w:p>
      <w:pPr>
        <w:spacing w:after="0" w:line="10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New York, NY - February 17, 2026 - </w:t>
      </w:r>
      <w:r>
        <w:rPr>
          <w:rFonts w:ascii="Times New Roman" w:cs="Times New Roman" w:eastAsia="Times New Roman" w:hAnsi="Times New Roman"/>
          <w:sz w:val="18"/>
          <w:szCs w:val="18"/>
          <w:color w:val="auto"/>
        </w:rPr>
        <w:t>Shutterstock, Inc. (NYSE: SSTK) (the “Company”), a family of brands delivering scalable creative and GenAI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help customers fuel great work, today announced financial results for the full year and fourth quarter ended December 31, 2025.</w:t>
      </w:r>
    </w:p>
    <w:p>
      <w:pPr>
        <w:spacing w:after="0" w:line="4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6"/>
          <w:szCs w:val="16"/>
          <w:color w:val="auto"/>
        </w:rPr>
        <w:t>Commenting on the Company's performance, Paul Hennessy, the Company's Chief Executive Officer, said, "I’m thrilled to announce that Shutterstock achieved record setting Revenue and Adjusted EBITDA in 2025. Revenue grew 6% driven by double digit growth of our Data, Distribution, and Services business, while Adjusted EBITDA margins for the year matched a previous high of 27.5% and Adjusted Free Cash Flow significantly expanded year over year. These</w:t>
      </w:r>
    </w:p>
    <w:p>
      <w:pPr>
        <w:spacing w:after="0" w:line="1" w:lineRule="exact"/>
        <w:rPr>
          <w:sz w:val="20"/>
          <w:szCs w:val="20"/>
          <w:color w:val="auto"/>
        </w:rPr>
      </w:pPr>
    </w:p>
    <w:p>
      <w:pPr>
        <w:ind w:right="460"/>
        <w:spacing w:after="0" w:line="248" w:lineRule="auto"/>
        <w:rPr>
          <w:sz w:val="20"/>
          <w:szCs w:val="20"/>
          <w:color w:val="auto"/>
        </w:rPr>
      </w:pPr>
      <w:r>
        <w:rPr>
          <w:rFonts w:ascii="Times New Roman" w:cs="Times New Roman" w:eastAsia="Times New Roman" w:hAnsi="Times New Roman"/>
          <w:sz w:val="18"/>
          <w:szCs w:val="18"/>
          <w:color w:val="auto"/>
        </w:rPr>
        <w:t>achievements were despite continued challenges in our Content business. I want to thank our employees and contributors for their focus and commitment during this past year."</w:t>
      </w:r>
    </w:p>
    <w:p>
      <w:pPr>
        <w:spacing w:after="0" w:line="23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“Looking forward to 2026, we will continue to simplify our Core Content business with products and pricing that meet our customers' needs in order to improve on current trends and we’re excited to continue investing in our Data, Distribution and Services business by offering specialized AI Services, including data creation and enrichment, in addition to our world-class stock assets for model training.”</w:t>
      </w:r>
    </w:p>
    <w:p>
      <w:pPr>
        <w:spacing w:after="0" w:line="2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With regards to the pending merger with Getty Images, Mr. Hennessy said, ''We continue to work alongside Getty Images and with the regulatory authorities to secure the necessary approvals for this transaction.''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highlights as compared to Full Year 2024:</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Financial Highlights</w:t>
      </w:r>
    </w:p>
    <w:p>
      <w:pPr>
        <w:spacing w:after="0" w:line="109"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$989.9 million compared to $935.3 million.</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$45.5 million compared to $35.9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common share was $1.25 compared to $1.01.</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was $140.5 million compared to $138.7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common share was $3.87 compared to $3.89.</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$271.8 million compared to $247.1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highlights as compared to Fourth Quarter 2024:</w:t>
      </w:r>
    </w:p>
    <w:p>
      <w:pPr>
        <w:spacing w:after="0" w:line="1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Financial Highlights</w:t>
      </w:r>
    </w:p>
    <w:p>
      <w:pPr>
        <w:spacing w:after="0" w:line="109" w:lineRule="exact"/>
        <w:rPr>
          <w:sz w:val="20"/>
          <w:szCs w:val="20"/>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$220.2 million compared to $250.3 million.</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$16.0 million compared to $1.4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diluted common share was $0.43 compared to $0.04.</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was $24.9 million compared to $23.4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common share was $0.67 compared to $0.67.</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$46.8 million compared to $59.1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year revenue of $989.9 million increased $54.7 million or 6% as compared to 2024.</w:t>
      </w:r>
    </w:p>
    <w:p>
      <w:pPr>
        <w:spacing w:after="0" w:line="109"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color w:val="auto"/>
        </w:rPr>
        <w:t>Revenue generated through our Content product offering increased 4% as compared to the full year 2024, to $786.7 million, and represented 79% of our total revenue in 2025. The increase in Content revenue was driven by Envato which was acquired on July 21, 2024 and was included in our consolidated results for a full year in 2025 compared to the partial year in 2024. This increase was offset by continued weakness in our Content business and new customer acquisitions.</w:t>
      </w:r>
    </w:p>
    <w:p>
      <w:pPr>
        <w:spacing w:after="0" w:line="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Revenue from our Data, Distribution, and Services product offering increased 16% as compared to 2024, to $203.3 million and represented 21% of our total revenue in 2025. Data, Distribution, and Services revenues increased primarily from the sale and delivery of metadata to new and existing customers as well as growth in our Distribution and Services offerings.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net income per diluted share</w:t>
      </w:r>
    </w:p>
    <w:p>
      <w:pPr>
        <w:spacing w:after="0" w:line="163"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6"/>
          <w:szCs w:val="16"/>
          <w:color w:val="auto"/>
        </w:rPr>
        <w:t>Net income of $45.5 million increased $9.6 million as compared to $35.9 million for the full year 2024. Net income per diluted share was $1.25 as compared to $1.01 for the full year 2024. These increases were driven by profitability associated with the increase in revenues and having Envato's results for a full year in 2025 partially offset by $34.9 million of professional fee expenses associated with the proposed merger with Getty Images Holdings, Inc. (“Getty Images”).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common share</w:t>
      </w:r>
    </w:p>
    <w:p>
      <w:pPr>
        <w:spacing w:after="0" w:line="11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Adjusted net income in 2025 of $140.5 million increased $1.8 million as compared to adjusted net income of $138.7 million in 2024. Adjusted net income in 2025 was favorably impacted by profitability associated with the increase in revenues and having Envato’s results for a full year in 2025, partially offset by increases in merger related expenses, interest expense and income tax expense.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per diluted share was $3.87 as compared to $3.89 for the full year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Adjusted EBITDA of $271.8 million for 2025 increased $24.7 million or 10% as compared to the full year 2024, primarily due to the contribution from Envato and data deal revenue.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margin of 4.6% for 2025 increased by 80 basis points, as compared to 3.8% for the full year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 of 27.5% for 2025 increased by 110 basis points, as compared to 26.4% for the full year 2024.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 revenue of $220.2 million decreased by $30.1 million or 12% as compared to the fourth quarter of 2024.</w:t>
      </w:r>
    </w:p>
    <w:p>
      <w:pPr>
        <w:spacing w:after="0" w:line="109" w:lineRule="exact"/>
        <w:rPr>
          <w:sz w:val="20"/>
          <w:szCs w:val="20"/>
          <w:color w:val="auto"/>
        </w:rPr>
      </w:pPr>
    </w:p>
    <w:p>
      <w:pPr>
        <w:jc w:val="both"/>
        <w:ind w:right="80"/>
        <w:spacing w:after="0" w:line="332" w:lineRule="auto"/>
        <w:rPr>
          <w:sz w:val="20"/>
          <w:szCs w:val="20"/>
          <w:color w:val="auto"/>
        </w:rPr>
      </w:pPr>
      <w:r>
        <w:rPr>
          <w:rFonts w:ascii="Times New Roman" w:cs="Times New Roman" w:eastAsia="Times New Roman" w:hAnsi="Times New Roman"/>
          <w:sz w:val="16"/>
          <w:szCs w:val="16"/>
          <w:color w:val="auto"/>
        </w:rPr>
        <w:t>Revenue from our Content product offering decreased by $23.0 million, or 11%, as compared to the fourth quarter of 2024, to $189.6 million. The reduction in our Content revenue was driven by weakness in new customer acquisition. Content revenue represented 86% of our total revenue in the fourth quarter of 2025.</w:t>
      </w:r>
    </w:p>
    <w:p>
      <w:pPr>
        <w:spacing w:after="0" w:line="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Revenue generated from our Data, Distribution, and Services product offering decreased by $7.1 million, or 19%, as compared to the fourth quarter of 2024, to $30.7 million, and represented 14% of fourth quarter revenue in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net income per diluted common share</w:t>
      </w:r>
    </w:p>
    <w:p>
      <w:pPr>
        <w:spacing w:after="0" w:line="16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Net loss in the fourth quarter of 2025 of $16.0 million increased $14.6 million as compared to net loss of $1.4 million for the fourth quarter in 2024. Net loss per diluted common share was $0.43, as compared to $0.04 for the same period in 2024. These increased losses were attributable to unrealized losses related to our investment in Meitu, Inc and $7.3 million of professional fee expenses in the quarter associated with the proposed merger with Getty Images Holdings, Inc. (“Getty Images”).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common share</w:t>
      </w:r>
    </w:p>
    <w:p>
      <w:pPr>
        <w:spacing w:after="0" w:line="13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Adjusted net income in the fourth quarter of 2025 of $24.9 million increased $1.5 million as compared to adjusted net income of $23.4 million for the fourth quarter in 2024. Fourth quarter 2025 adjusted net income was favorably impacted by tax benefits, partially offset by decline in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per diluted common share was $0.67 as compared to $0.67 for the fourth quarter of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Adjusted EBITDA of $46.8 million for the fourth quarter of 2025 decreased by $12.3 million, or 21%, as compared to the fourth quarter of 2024, primarily due to the decline in revenue.</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Net loss margin of (7.3)% for the fourth quarter of 2025 decreased by 6.7%, as compared to (0.6)% in the fourth quarter of 2024. The adjusted EBITDA margin of 21.2% for the fourth quarter of 2025 decreased by (2.4)%, as compared to 23.6% in the fourth quarter of 2024.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full year 2025, our cash and cash equivalents increased by $66.9 million to $178.2 million at December 31, 2025, as compared with $111.3 million as of December 31, 2024. This increase was driven by $166.7 million of net cash provided by our operating activities, partially offset by $47.8 million used in investing activities and $59.1 million used in financing activities. Net cash provided by our operating activities was impacted by the timing of payments and cash receipts in the ordinary course of business which can cause operating cash flow to fluctuate from period to period.</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primarily consisted of cash of (i) capital expenditures of $42.9 million for internal-use software and website development costs and purchases of software and equipment; and (ii) $6.5 million paid to acquire the rights to distribute certain digital content into perpetuity. These cash outflows were partially offset by $1.6 million of Giphy Retention Compensation, as reimbursed by the Giphy seller.</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primarily consisted of (i) $46.5 million, related to the payment of the quarterly cash dividend; (ii) $9.4 million paid in the settlement of tax withholding obligations related to employee stock-based compensation awards; and (ii) $3.1 million used for the repayment of our Credit Facility.</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free cash flow was $149.5 million for the full year 2025, an increase of $40.8 million from the full year 2024. This increase was primarily driven by the increase was primarily driven by changes in working capital relate primarily to accounts receivables and timing differences between data deal revenue recognition collections of the related receivables.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CASH DIVIDEND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2025, the Company declared and paid a cash dividend of $0.33 per common share or $11.7 million.</w:t>
      </w:r>
    </w:p>
    <w:p>
      <w:pPr>
        <w:spacing w:after="0" w:line="10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On January 26, 2026, the Board of Directors declared a dividend of $0.36 per share of outstanding common stock, payable on March 19, 2026 to stockholders of record at the close of business on March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80" w:type="dxa"/>
            <w:vAlign w:val="bottom"/>
          </w:tcPr>
          <w:p>
            <w:pPr>
              <w:spacing w:after="0"/>
              <w:rPr>
                <w:sz w:val="16"/>
                <w:szCs w:val="16"/>
                <w:color w:val="auto"/>
              </w:rPr>
            </w:pPr>
          </w:p>
        </w:tc>
        <w:tc>
          <w:tcPr>
            <w:tcW w:w="2740" w:type="dxa"/>
            <w:vAlign w:val="bottom"/>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1"/>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line="190"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5</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line="190"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5</w:t>
            </w:r>
          </w:p>
        </w:tc>
      </w:tr>
      <w:tr>
        <w:trPr>
          <w:trHeight w:val="46"/>
        </w:trPr>
        <w:tc>
          <w:tcPr>
            <w:tcW w:w="5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4"/>
        </w:trPr>
        <w:tc>
          <w:tcPr>
            <w:tcW w:w="50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1,032,000</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1,088,000</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1,088,000</w:t>
            </w:r>
          </w:p>
        </w:tc>
      </w:tr>
      <w:tr>
        <w:trPr>
          <w:trHeight w:val="224"/>
        </w:trPr>
        <w:tc>
          <w:tcPr>
            <w:tcW w:w="5040" w:type="dxa"/>
            <w:vAlign w:val="bottom"/>
          </w:tcPr>
          <w:p>
            <w:pPr>
              <w:ind w:left="20"/>
              <w:spacing w:after="0" w:line="224"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(2)</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104.7</w:t>
            </w: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r>
      <w:tr>
        <w:trPr>
          <w:trHeight w:val="263"/>
        </w:trPr>
        <w:tc>
          <w:tcPr>
            <w:tcW w:w="5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4"/>
        </w:trPr>
        <w:tc>
          <w:tcPr>
            <w:tcW w:w="5040" w:type="dxa"/>
            <w:vAlign w:val="bottom"/>
          </w:tcPr>
          <w:p>
            <w:pPr>
              <w:ind w:left="20"/>
              <w:spacing w:after="0" w:line="224"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(3)</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281</w:t>
            </w: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4"/>
        </w:trPr>
        <w:tc>
          <w:tcPr>
            <w:tcW w:w="50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Paid downloads (in millions)</w:t>
            </w:r>
            <w:r>
              <w:rPr>
                <w:rFonts w:ascii="Times New Roman" w:cs="Times New Roman" w:eastAsia="Times New Roman" w:hAnsi="Times New Roman"/>
                <w:sz w:val="20"/>
                <w:szCs w:val="20"/>
                <w:color w:val="auto"/>
                <w:vertAlign w:val="superscript"/>
              </w:rPr>
              <w:t>(4)</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107.9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w:t>
      </w:r>
    </w:p>
    <w:p>
      <w:pPr>
        <w:spacing w:after="0" w:line="4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2025 metrics include the counts and revenues from Envato for the three and nine months ended September 30, 2025, which was acquired in July 22, 2024.</w:t>
      </w:r>
    </w:p>
    <w:p>
      <w:pPr>
        <w:spacing w:after="0" w:line="68" w:lineRule="exact"/>
        <w:rPr>
          <w:sz w:val="20"/>
          <w:szCs w:val="20"/>
          <w:color w:val="auto"/>
        </w:rPr>
      </w:pPr>
    </w:p>
    <w:p>
      <w:pPr>
        <w:ind w:left="180" w:hanging="175"/>
        <w:spacing w:after="0"/>
        <w:tabs>
          <w:tab w:leader="none" w:pos="1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w:t>
      </w:r>
    </w:p>
    <w:p>
      <w:pPr>
        <w:spacing w:after="0" w:line="112"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76"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w:t>
      </w:r>
    </w:p>
    <w:p>
      <w:pPr>
        <w:spacing w:after="0" w:line="63"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and Subscriber Revenue are presented as if Envato was acquired as of the beginning of the period presented. Average revenue per customer includes Envato historical results over the last twelve 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supplement Shutterstock’s consolidated financial statements presented in accordance with the accounting principles generally accepted in the United States, or GAAP, Shutterstock’s management considers certain financial measures that are not prepared in accordance with GAAP, collectively referred to as non-GAAP financial measures, including adjusted EBITDA, adjusted EBITDA margin, adjusted net income, adjusted net income per diluted share, revenue growth (including by distribution channel) on a constant currency basis (expressed as a percentage), billings and adjusted free cash flow.</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 defines adjusted EBITDA as net income adjusted for depreciation and amortization, non-cash equity-based compensation, Giphy Retention Compensation Expense - non-recurring, foreign currency transaction gains and losses, severance costs associated with strategic workforce optimizations, impairment loss on long-term investment, impairment of lease assets, unrealized losses / gains on investments, legal contingencies, interest income and expense, income taxes and Merger related costs; adjusted EBITDA margin as the ratio of adjusted EBITDA to revenue; adjusted net income as net income adjusted for the impact of non-cash equity-based compensation, amortization of acquisition-related intangible assets, Giphy Retention Compensation Expense - non-recurring, severance costs associated with strategic workforce optimizations (reported in Other), unrealized losses / gains on investments (reported in Other), impairment loss on long-term investment, impairment of lease assets, legal contingencies Merger related costs and the estimated tax impact of such adjustments; adjusted net income per diluted common share as adjusted net income divided by weighted average diluted shares; revenue growth (including by product offering) on a constant currency basis (expressed as a percentage) as the increase in current period revenues over prior period revenues, utilizing fixed exchange rates for translating foreign currency revenues for all periods in the comparison; billings as revenue adjusted for the change in deferred revenue, excluding deferred revenue acquired through business combinations; and adjusted free cash flow as net cash provided by operating activities, adjusted for capital expenditures, content acquisition, cash received related to Giphy Retention Compensation in connection with the acquisition of Giphy, and cash paid for costs related to the Getty Images merger.</w:t>
      </w:r>
    </w:p>
    <w:p>
      <w:pPr>
        <w:spacing w:after="0" w:line="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United Kingdom Competition and Markets Authority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an ongoing expense necessary to operate the Company’s business. Therefore, such expenses have been included in the below adjustments for calculating adjusted EBITDA, adjusted EBITDA margin, adjusted net income and adjusted net income per diluted common share. For the three months ended December 31, 2025, the Company also incurred $4.0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8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These figures have not been calculated in accordance with GAAP and should be considered only in addition to results prepared in accordance with GAAP and should not be considered as a substitute for, or superior to, GAAP results. Shutterstock cautions investors that non-GAAP financial measures are not based on any standardized methodology prescribed by GAAP and are not necessarily comparable to similarly-titled measures presented by other companies.</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Shutterstock’s management believes that adjusted EBITDA, adjusted EBITDA margin, adjusted net income, adjusted net income per diluted common share, revenue growth (including by product offering) on a constant currency basis (expressed as a percentage), billings and adjusted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Shutterstock’s management believes that adjusted free cash flow is useful for investors because it provides them with an important perspective on the cash available for strategic measures, after making necessary capital investments in internal-use software and website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costs to support the Company’s ongoing business operations and provides them with the same measures that management uses as the basis for making resource allocation decisions.</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Shutterstock’s management also uses the non-GAAP financial measures adjusted EBITDA, adjusted EBITDA margin, adjusted net income, adjusted net income per diluted common share, revenue growth (including by product offering) on a constant currency basis (expressed as a percentage), billings and adjusted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Reconciliations of the differences between each of our non-GAAP financial measures (adjusted EBITDA, adjusted EBITDA margin, adjusted net income, adjusted net income per diluted common share, revenue growth (including by product offering) on a constant currency basis (expressed as a percentage), billings, adjusted free cash flow), and each measure’s most directly comparable financial measure calculated and presented in accordance with GAAP, are presented under the headings “Reconciliation of Non-GAAP Financial Information to GAAP” and “Supplemental Financial Data” immediately following the Consolidated Balance Sheets.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Announced Merger Agreement with Getty Images</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January 7, 2025, Shutterstock announced that it entered into a merger agreement with Getty Images to combine in a merger of equals transaction, creating a premier visual content company. The transaction is subject to the satisfaction of customary closing conditions, including receipt of required regulatory approvals. As previously announced, a majority of Shutterstock stockholders approved the adoption of the merger agreement at a special meeting of stockholders held on June 10, 2025.</w:t>
      </w:r>
    </w:p>
    <w:p>
      <w:pPr>
        <w:spacing w:after="0" w:line="209"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As previously communicated, in light of the pending transaction with Getty Images, Shutterstock will not be hosting a conference call or providing financial guidance in conjunction with its full year and fourth quarter 2025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additional information associated with the transaction, please see the Company’s filings from time to time with the Securities and Exchange Commission.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SHUTTERSTOCK</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Shutterstock is in the business of turning ideas into impact. Powered by a global network of millions of creators and our cutting-edge technology, we provide businesses, creatives and brand leaders with the essential, universal ingredients to make their work more effective. Shutterstock is home to the world’s largest and most diverse collection of high-quality licensable assets, data and AI solutions, advertising and distribution solutions, exclusive editorial content, and full-service studio production—delivering unparalleled resources to fuel great work.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 our impact at www.shutterstock.com and connect with us on LinkedIn, Instagram, X, Facebook and YouTube.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The statements in this press release, and any related oral statements, include forward-looking statements within the meaning of Section 27A of the Securities Act of 1933, as amended, and Section 21E of the Securities Exchange Act of 1934, as amended.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statements regarding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our ability to offer specialized AI services and simplify our Core Content business, our competitive position, our ability to obtain applicable regulatory approvals on a timely basis or otherwise for the proposed transaction with Getty Images, our ability to satisfy the other closing conditions of the proposed transaction with Getty Images, on a timely basis or otherwise, and the expected timing and completion of the proposed transaction with Getty Images. Important factors that could cause actual results to differ materially from the forward-looking statements include, among other things: risks and uncertainties associated with our proposed transaction with Getty Images and those risks discussed under the section captioned “Risk Factors” in Shutterstock’s Annual Report on Form 10-K for the fiscal year ended December 31, 2024,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considered representative, no such list should be considered to be a complete statement of all potential risks and uncertainties. Unlisted factors may present</w:t>
      </w:r>
    </w:p>
    <w:p>
      <w:pPr>
        <w:spacing w:after="0" w:line="21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significant additional obstacles to the realization of forward looking statements. Shutterstock does not assume, and hereby disclaims, any obligation to update forward-looking statements, except as may be required by law.</w:t>
      </w:r>
    </w:p>
    <w:p>
      <w:pPr>
        <w:sectPr>
          <w:pgSz w:w="11900" w:h="16838" w:orient="portrait"/>
          <w:cols w:equalWidth="0" w:num="1">
            <w:col w:w="11240"/>
          </w:cols>
          <w:pgMar w:left="320" w:top="1440"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Investor Relations Contact</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Scott Grossman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ir@shutterstock.com</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Lori Rodney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press@shutterstock.com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917-563-4991</w:t>
      </w:r>
    </w:p>
    <w:p>
      <w:pPr>
        <w:spacing w:after="0" w:line="200" w:lineRule="exact"/>
        <w:rPr>
          <w:sz w:val="20"/>
          <w:szCs w:val="20"/>
          <w:color w:val="auto"/>
        </w:rPr>
      </w:pPr>
    </w:p>
    <w:p>
      <w:pPr>
        <w:sectPr>
          <w:pgSz w:w="11900" w:h="16838" w:orient="portrait"/>
          <w:cols w:equalWidth="0" w:num="2">
            <w:col w:w="4940" w:space="720"/>
            <w:col w:w="55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6"/>
                <w:szCs w:val="16"/>
                <w:color w:val="auto"/>
              </w:rPr>
            </w:pPr>
          </w:p>
        </w:tc>
        <w:tc>
          <w:tcPr>
            <w:tcW w:w="262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220,221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989,925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0" w:type="dxa"/>
            <w:vAlign w:val="bottom"/>
          </w:tcPr>
          <w:p>
            <w:pPr>
              <w:spacing w:after="0"/>
              <w:rPr>
                <w:sz w:val="1"/>
                <w:szCs w:val="1"/>
                <w:color w:val="auto"/>
              </w:rPr>
            </w:pPr>
          </w:p>
        </w:tc>
      </w:tr>
      <w:tr>
        <w:trPr>
          <w:trHeight w:val="263"/>
        </w:trPr>
        <w:tc>
          <w:tcPr>
            <w:tcW w:w="5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97,406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396,297</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51,183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222,704</w:t>
            </w:r>
          </w:p>
        </w:tc>
        <w:tc>
          <w:tcPr>
            <w:tcW w:w="0" w:type="dxa"/>
            <w:vAlign w:val="bottom"/>
          </w:tcPr>
          <w:p>
            <w:pPr>
              <w:spacing w:after="0"/>
              <w:rPr>
                <w:sz w:val="1"/>
                <w:szCs w:val="1"/>
                <w:color w:val="auto"/>
              </w:rPr>
            </w:pPr>
          </w:p>
        </w:tc>
      </w:tr>
      <w:tr>
        <w:trPr>
          <w:trHeight w:val="209"/>
        </w:trPr>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26,040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88,417</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47,956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159,136</w:t>
            </w:r>
          </w:p>
        </w:tc>
        <w:tc>
          <w:tcPr>
            <w:tcW w:w="0" w:type="dxa"/>
            <w:vAlign w:val="bottom"/>
          </w:tcPr>
          <w:p>
            <w:pPr>
              <w:spacing w:after="0"/>
              <w:rPr>
                <w:sz w:val="1"/>
                <w:szCs w:val="1"/>
                <w:color w:val="auto"/>
              </w:rPr>
            </w:pPr>
          </w:p>
        </w:tc>
      </w:tr>
      <w:tr>
        <w:trPr>
          <w:trHeight w:val="202"/>
        </w:trPr>
        <w:tc>
          <w:tcPr>
            <w:tcW w:w="52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222,585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237,159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914,866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866,554</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68,708</w:t>
            </w: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0" w:type="dxa"/>
            <w:vAlign w:val="bottom"/>
          </w:tcPr>
          <w:p>
            <w:pPr>
              <w:spacing w:after="0"/>
              <w:rPr>
                <w:sz w:val="1"/>
                <w:szCs w:val="1"/>
                <w:color w:val="auto"/>
              </w:rPr>
            </w:pPr>
          </w:p>
        </w:tc>
      </w:tr>
      <w:tr>
        <w:trPr>
          <w:trHeight w:val="202"/>
        </w:trPr>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62,548</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 provision for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0" w:type="dxa"/>
            <w:vAlign w:val="bottom"/>
          </w:tcPr>
          <w:p>
            <w:pPr>
              <w:spacing w:after="0"/>
              <w:rPr>
                <w:sz w:val="1"/>
                <w:szCs w:val="1"/>
                <w:color w:val="auto"/>
              </w:rPr>
            </w:pPr>
          </w:p>
        </w:tc>
      </w:tr>
      <w:tr>
        <w:trPr>
          <w:trHeight w:val="177"/>
        </w:trPr>
        <w:tc>
          <w:tcPr>
            <w:tcW w:w="5220" w:type="dxa"/>
            <w:vAlign w:val="bottom"/>
          </w:tcPr>
          <w:p>
            <w:pPr>
              <w:ind w:left="240"/>
              <w:spacing w:after="0" w:line="178" w:lineRule="exact"/>
              <w:rPr>
                <w:sz w:val="20"/>
                <w:szCs w:val="20"/>
                <w:color w:val="auto"/>
              </w:rPr>
            </w:pPr>
            <w:r>
              <w:rPr>
                <w:rFonts w:ascii="Times New Roman" w:cs="Times New Roman" w:eastAsia="Times New Roman" w:hAnsi="Times New Roman"/>
                <w:sz w:val="16"/>
                <w:szCs w:val="16"/>
                <w:color w:val="auto"/>
              </w:rPr>
              <w:t>Net (loss) / income</w:t>
            </w:r>
          </w:p>
        </w:tc>
        <w:tc>
          <w:tcPr>
            <w:tcW w:w="260" w:type="dxa"/>
            <w:vAlign w:val="bottom"/>
            <w:tcBorders>
              <w:bottom w:val="single" w:sz="8" w:color="auto"/>
            </w:tcBorders>
          </w:tcPr>
          <w:p>
            <w:pPr>
              <w:jc w:val="right"/>
              <w:ind w:right="8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(16,019)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(1,429)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45,496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35,932</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(Losses) / earnings per share: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37,125</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36,268</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35,658</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7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178,244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0" w:type="dxa"/>
            <w:vAlign w:val="bottom"/>
          </w:tcPr>
          <w:p>
            <w:pPr>
              <w:spacing w:after="0"/>
              <w:rPr>
                <w:sz w:val="1"/>
                <w:szCs w:val="1"/>
                <w:color w:val="auto"/>
              </w:rPr>
            </w:pPr>
          </w:p>
        </w:tc>
      </w:tr>
      <w:tr>
        <w:trPr>
          <w:trHeight w:val="209"/>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of $3,431 and $3,101</w:t>
            </w: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112,626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95,225</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47,769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49,482</w:t>
            </w:r>
          </w:p>
        </w:tc>
        <w:tc>
          <w:tcPr>
            <w:tcW w:w="0" w:type="dxa"/>
            <w:vAlign w:val="bottom"/>
          </w:tcPr>
          <w:p>
            <w:pPr>
              <w:spacing w:after="0"/>
              <w:rPr>
                <w:sz w:val="1"/>
                <w:szCs w:val="1"/>
                <w:color w:val="auto"/>
              </w:rPr>
            </w:pPr>
          </w:p>
        </w:tc>
      </w:tr>
      <w:tr>
        <w:trPr>
          <w:trHeight w:val="202"/>
        </w:trPr>
        <w:tc>
          <w:tcPr>
            <w:tcW w:w="78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338,639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255,958</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62,553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66,400</w:t>
            </w: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13,956</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215,673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248,477</w:t>
            </w: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574,614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569,668</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61,289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70,982</w:t>
            </w:r>
          </w:p>
        </w:tc>
        <w:tc>
          <w:tcPr>
            <w:tcW w:w="0" w:type="dxa"/>
            <w:vAlign w:val="bottom"/>
          </w:tcPr>
          <w:p>
            <w:pPr>
              <w:spacing w:after="0"/>
              <w:rPr>
                <w:sz w:val="1"/>
                <w:szCs w:val="1"/>
                <w:color w:val="auto"/>
              </w:rPr>
            </w:pPr>
          </w:p>
        </w:tc>
      </w:tr>
      <w:tr>
        <w:trPr>
          <w:trHeight w:val="20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93,398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83,715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1,355,936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0" w:type="dxa"/>
            <w:vAlign w:val="bottom"/>
          </w:tcPr>
          <w:p>
            <w:pPr>
              <w:spacing w:after="0"/>
              <w:rPr>
                <w:sz w:val="1"/>
                <w:szCs w:val="1"/>
                <w:color w:val="auto"/>
              </w:rPr>
            </w:pPr>
          </w:p>
        </w:tc>
      </w:tr>
      <w:tr>
        <w:trPr>
          <w:trHeight w:val="209"/>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129,952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126,643</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94,163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81,076</w:t>
            </w:r>
          </w:p>
        </w:tc>
        <w:tc>
          <w:tcPr>
            <w:tcW w:w="0" w:type="dxa"/>
            <w:vAlign w:val="bottom"/>
          </w:tcPr>
          <w:p>
            <w:pPr>
              <w:spacing w:after="0"/>
              <w:rPr>
                <w:sz w:val="1"/>
                <w:szCs w:val="1"/>
                <w:color w:val="auto"/>
              </w:rPr>
            </w:pPr>
          </w:p>
        </w:tc>
      </w:tr>
      <w:tr>
        <w:trPr>
          <w:trHeight w:val="209"/>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212,984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225,489</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158,110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158,106</w:t>
            </w:r>
          </w:p>
        </w:tc>
        <w:tc>
          <w:tcPr>
            <w:tcW w:w="0" w:type="dxa"/>
            <w:vAlign w:val="bottom"/>
          </w:tcPr>
          <w:p>
            <w:pPr>
              <w:spacing w:after="0"/>
              <w:rPr>
                <w:sz w:val="1"/>
                <w:szCs w:val="1"/>
                <w:color w:val="auto"/>
              </w:rPr>
            </w:pPr>
          </w:p>
        </w:tc>
      </w:tr>
      <w:tr>
        <w:trPr>
          <w:trHeight w:val="209"/>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19,295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24,751</w:t>
            </w:r>
          </w:p>
        </w:tc>
        <w:tc>
          <w:tcPr>
            <w:tcW w:w="0" w:type="dxa"/>
            <w:vAlign w:val="bottom"/>
          </w:tcPr>
          <w:p>
            <w:pPr>
              <w:spacing w:after="0"/>
              <w:rPr>
                <w:sz w:val="1"/>
                <w:szCs w:val="1"/>
                <w:color w:val="auto"/>
              </w:rPr>
            </w:pPr>
          </w:p>
        </w:tc>
      </w:tr>
      <w:tr>
        <w:trPr>
          <w:trHeight w:val="206"/>
        </w:trPr>
        <w:tc>
          <w:tcPr>
            <w:tcW w:w="7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628,402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625,286</w:t>
            </w: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116,639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119,598</w:t>
            </w: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17,247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23,365</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20,383</w:t>
            </w:r>
          </w:p>
        </w:tc>
        <w:tc>
          <w:tcPr>
            <w:tcW w:w="0" w:type="dxa"/>
            <w:vAlign w:val="bottom"/>
          </w:tcPr>
          <w:p>
            <w:pPr>
              <w:spacing w:after="0"/>
              <w:rPr>
                <w:sz w:val="1"/>
                <w:szCs w:val="1"/>
                <w:color w:val="auto"/>
              </w:rPr>
            </w:pPr>
          </w:p>
        </w:tc>
      </w:tr>
      <w:tr>
        <w:trPr>
          <w:trHeight w:val="202"/>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774,898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790,806</w:t>
            </w:r>
          </w:p>
        </w:tc>
        <w:tc>
          <w:tcPr>
            <w:tcW w:w="0" w:type="dxa"/>
            <w:vAlign w:val="bottom"/>
          </w:tcPr>
          <w:p>
            <w:pPr>
              <w:spacing w:after="0"/>
              <w:rPr>
                <w:sz w:val="1"/>
                <w:szCs w:val="1"/>
                <w:color w:val="auto"/>
              </w:rPr>
            </w:pPr>
          </w:p>
        </w:tc>
      </w:tr>
      <w:tr>
        <w:trPr>
          <w:trHeight w:val="206"/>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Common stock, $0.01 par value; 200,000 shares authorized; 41,049 and 40,395 shares issued and 35,528 and 34,874</w:t>
            </w:r>
          </w:p>
        </w:tc>
        <w:tc>
          <w:tcPr>
            <w:tcW w:w="1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1"/>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shares outstanding as of December 31, 2025 and December 31, 2024, respectively</w:t>
            </w:r>
          </w:p>
        </w:tc>
        <w:tc>
          <w:tcPr>
            <w:tcW w:w="1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Treasury stock, at cost; 5,521 shares as of December 31, 2025 and December 31, 2024</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520,018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468,390</w:t>
            </w:r>
          </w:p>
        </w:tc>
        <w:tc>
          <w:tcPr>
            <w:tcW w:w="0" w:type="dxa"/>
            <w:vAlign w:val="bottom"/>
          </w:tcPr>
          <w:p>
            <w:pPr>
              <w:spacing w:after="0"/>
              <w:rPr>
                <w:sz w:val="1"/>
                <w:szCs w:val="1"/>
                <w:color w:val="auto"/>
              </w:rPr>
            </w:pPr>
          </w:p>
        </w:tc>
      </w:tr>
      <w:tr>
        <w:trPr>
          <w:trHeight w:val="209"/>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335,168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336,202</w:t>
            </w:r>
          </w:p>
        </w:tc>
        <w:tc>
          <w:tcPr>
            <w:tcW w:w="0" w:type="dxa"/>
            <w:vAlign w:val="bottom"/>
          </w:tcPr>
          <w:p>
            <w:pPr>
              <w:spacing w:after="0"/>
              <w:rPr>
                <w:sz w:val="1"/>
                <w:szCs w:val="1"/>
                <w:color w:val="auto"/>
              </w:rPr>
            </w:pPr>
          </w:p>
        </w:tc>
      </w:tr>
      <w:tr>
        <w:trPr>
          <w:trHeight w:val="202"/>
        </w:trPr>
        <w:tc>
          <w:tcPr>
            <w:tcW w:w="7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581,038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518,350</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1,355,936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72"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66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r>
      <w:tr>
        <w:trPr>
          <w:trHeight w:val="190"/>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(16,019)</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45,496</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35,932</w:t>
            </w:r>
          </w:p>
        </w:tc>
      </w:tr>
      <w:tr>
        <w:trPr>
          <w:trHeight w:val="160"/>
        </w:trPr>
        <w:tc>
          <w:tcPr>
            <w:tcW w:w="52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90,894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87,626</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(10,963)</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61,076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56,330</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impairment of long-term investment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Bad debt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4,944</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(17,934)</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(48,600)</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Envato Seller Obligations</w:t>
            </w: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(63,320)</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14,654</w:t>
            </w:r>
          </w:p>
        </w:tc>
      </w:tr>
      <w:tr>
        <w:trPr>
          <w:trHeight w:val="20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(21,830)</w:t>
            </w:r>
          </w:p>
        </w:tc>
      </w:tr>
      <w:tr>
        <w:trPr>
          <w:trHeight w:val="204"/>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166,686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32,646</w:t>
            </w:r>
          </w:p>
        </w:tc>
      </w:tr>
      <w:tr>
        <w:trPr>
          <w:trHeight w:val="74"/>
        </w:trPr>
        <w:tc>
          <w:tcPr>
            <w:tcW w:w="5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(47,215)</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(179,071)</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63,971</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content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w:t>
            </w:r>
          </w:p>
        </w:tc>
      </w:tr>
      <w:tr>
        <w:trPr>
          <w:trHeight w:val="20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Security deposit (release) / payment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04"/>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(10,048)</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(166,168)</w:t>
            </w:r>
          </w:p>
        </w:tc>
      </w:tr>
      <w:tr>
        <w:trPr>
          <w:trHeight w:val="74"/>
        </w:trPr>
        <w:tc>
          <w:tcPr>
            <w:tcW w:w="5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(41,591)</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(12,167)</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(42,383)</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280,000</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(31,563)</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r>
      <w:tr>
        <w:trPr>
          <w:trHeight w:val="202"/>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 provided by financing activities</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(12,827)</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(12,460)</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(59,098)</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150,096</w:t>
            </w:r>
          </w:p>
        </w:tc>
      </w:tr>
      <w:tr>
        <w:trPr>
          <w:trHeight w:val="140"/>
        </w:trPr>
        <w:tc>
          <w:tcPr>
            <w:tcW w:w="5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09"/>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7,202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(5,813)</w:t>
            </w:r>
          </w:p>
        </w:tc>
      </w:tr>
      <w:tr>
        <w:trPr>
          <w:trHeight w:val="206"/>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increase / (decrease) in cash and cash equivalents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66,993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10,761</w:t>
            </w:r>
          </w:p>
        </w:tc>
      </w:tr>
      <w:tr>
        <w:trPr>
          <w:trHeight w:val="105"/>
        </w:trPr>
        <w:tc>
          <w:tcPr>
            <w:tcW w:w="5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165,536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131,393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111,251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100,490</w:t>
            </w:r>
          </w:p>
        </w:tc>
      </w:tr>
      <w:tr>
        <w:trPr>
          <w:trHeight w:val="20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178,244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178,244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111,251</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0"/>
        </w:trPr>
        <w:tc>
          <w:tcPr>
            <w:tcW w:w="52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20,162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34,033</w:t>
            </w: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16,476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7,830</w:t>
            </w:r>
          </w:p>
        </w:tc>
      </w:tr>
    </w:tbl>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40" w:top="93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Information to GAAP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Adjusted EBITDA, adjusted EBITDA margin, adjusted net income, adjusted net income per diluted share, revenue growth (including by distribution channel) on a constant currency basis (expressed as a percentage), billings and adjusted free cash flow are not financial measures prepared in accordance with United States generally accepted accounting principles (GAAP). Such non-GAAP financial measures should not be construed as alternatives to any other measures of performance determined in accordance with GAAP. Investors are cautioned that non-GAAP financial measures are not based on any standardized methodology prescribed by GAAP and are not necessarily comparable to similarly-titled measures presented by other companies.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66"/>
        </w:trPr>
        <w:tc>
          <w:tcPr>
            <w:tcW w:w="5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2"/>
                <w:szCs w:val="12"/>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9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 income</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35,932</w:t>
            </w:r>
          </w:p>
        </w:tc>
      </w:tr>
      <w:tr>
        <w:trPr>
          <w:trHeight w:val="190"/>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14,605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56,330</w:t>
            </w:r>
          </w:p>
        </w:tc>
      </w:tr>
      <w:tr>
        <w:trPr>
          <w:trHeight w:val="197"/>
        </w:trPr>
        <w:tc>
          <w:tcPr>
            <w:tcW w:w="522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 xml:space="preserve">Tax effect of non-cash equity-based compensation </w:t>
            </w:r>
            <w:r>
              <w:rPr>
                <w:rFonts w:ascii="Times New Roman" w:cs="Times New Roman" w:eastAsia="Times New Roman" w:hAnsi="Times New Roman"/>
                <w:sz w:val="18"/>
                <w:szCs w:val="18"/>
                <w:color w:val="auto"/>
                <w:vertAlign w:val="superscript"/>
              </w:rPr>
              <w:t>(1)(2)</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(6,883)</w:t>
            </w:r>
          </w:p>
        </w:tc>
      </w:tr>
      <w:tr>
        <w:trPr>
          <w:trHeight w:val="197"/>
        </w:trPr>
        <w:tc>
          <w:tcPr>
            <w:tcW w:w="5220" w:type="dxa"/>
            <w:vAlign w:val="bottom"/>
            <w:shd w:val="clear" w:color="auto" w:fill="CCEEFF"/>
          </w:tcPr>
          <w:p>
            <w:pPr>
              <w:ind w:left="220"/>
              <w:spacing w:after="0" w:line="197" w:lineRule="exact"/>
              <w:rPr>
                <w:sz w:val="20"/>
                <w:szCs w:val="20"/>
                <w:color w:val="auto"/>
              </w:rPr>
            </w:pPr>
            <w:r>
              <w:rPr>
                <w:rFonts w:ascii="Times New Roman" w:cs="Times New Roman" w:eastAsia="Times New Roman" w:hAnsi="Times New Roman"/>
                <w:sz w:val="14"/>
                <w:szCs w:val="14"/>
                <w:color w:val="auto"/>
              </w:rPr>
              <w:t xml:space="preserve">Acquisition-related amortization expense </w:t>
            </w:r>
            <w:r>
              <w:rPr>
                <w:rFonts w:ascii="Times New Roman" w:cs="Times New Roman" w:eastAsia="Times New Roman" w:hAnsi="Times New Roman"/>
                <w:sz w:val="18"/>
                <w:szCs w:val="18"/>
                <w:color w:val="auto"/>
                <w:vertAlign w:val="superscript"/>
              </w:rPr>
              <w:t>(3)</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9,624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37,967</w:t>
            </w:r>
          </w:p>
        </w:tc>
      </w:tr>
      <w:tr>
        <w:trPr>
          <w:trHeight w:val="197"/>
        </w:trPr>
        <w:tc>
          <w:tcPr>
            <w:tcW w:w="522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 xml:space="preserve">Tax effect of acquisition-related amortization expense </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w:t>
            </w:r>
          </w:p>
        </w:tc>
      </w:tr>
      <w:tr>
        <w:trPr>
          <w:trHeight w:val="197"/>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Giphy Retention Compensation Expense - non-recurring</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22,116</w:t>
            </w:r>
          </w:p>
        </w:tc>
      </w:tr>
      <w:tr>
        <w:trPr>
          <w:trHeight w:val="197"/>
        </w:trPr>
        <w:tc>
          <w:tcPr>
            <w:tcW w:w="522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Tax effect of Giphy Retention Compensation Expense - non-recurring</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(5,197)</w:t>
            </w:r>
          </w:p>
        </w:tc>
      </w:tr>
      <w:tr>
        <w:trPr>
          <w:trHeight w:val="197"/>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Merger related costs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7,252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r>
      <w:tr>
        <w:trPr>
          <w:trHeight w:val="197"/>
        </w:trPr>
        <w:tc>
          <w:tcPr>
            <w:tcW w:w="522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Tax effect of Merger related costs</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197"/>
        </w:trPr>
        <w:tc>
          <w:tcPr>
            <w:tcW w:w="5220" w:type="dxa"/>
            <w:vAlign w:val="bottom"/>
            <w:shd w:val="clear" w:color="auto" w:fill="CCEEFF"/>
          </w:tcPr>
          <w:p>
            <w:pPr>
              <w:ind w:left="220"/>
              <w:spacing w:after="0" w:line="197"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(4)</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17,565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w:t>
            </w:r>
          </w:p>
        </w:tc>
      </w:tr>
      <w:tr>
        <w:trPr>
          <w:trHeight w:val="197"/>
        </w:trPr>
        <w:tc>
          <w:tcPr>
            <w:tcW w:w="5220" w:type="dxa"/>
            <w:vAlign w:val="bottom"/>
            <w:tcBorders>
              <w:bottom w:val="single" w:sz="8" w:color="CCEEFF"/>
            </w:tcBorders>
          </w:tcPr>
          <w:p>
            <w:pPr>
              <w:ind w:left="220"/>
              <w:spacing w:after="0" w:line="197" w:lineRule="exact"/>
              <w:rPr>
                <w:sz w:val="20"/>
                <w:szCs w:val="20"/>
                <w:color w:val="auto"/>
              </w:rPr>
            </w:pPr>
            <w:r>
              <w:rPr>
                <w:rFonts w:ascii="Times New Roman" w:cs="Times New Roman" w:eastAsia="Times New Roman" w:hAnsi="Times New Roman"/>
                <w:sz w:val="14"/>
                <w:szCs w:val="14"/>
                <w:color w:val="auto"/>
              </w:rPr>
              <w:t>Tax effect of other</w:t>
            </w:r>
            <w:r>
              <w:rPr>
                <w:rFonts w:ascii="Times New Roman" w:cs="Times New Roman" w:eastAsia="Times New Roman" w:hAnsi="Times New Roman"/>
                <w:sz w:val="18"/>
                <w:szCs w:val="18"/>
                <w:color w:val="auto"/>
                <w:vertAlign w:val="superscript"/>
              </w:rPr>
              <w:t>(1)</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w:t>
            </w:r>
          </w:p>
        </w:tc>
      </w:tr>
      <w:tr>
        <w:trPr>
          <w:trHeight w:val="20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24,889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138,742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5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 income per diluted common share</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 per diluted common share</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0.67</w:t>
            </w:r>
          </w:p>
        </w:tc>
        <w:tc>
          <w:tcPr>
            <w:tcW w:w="100" w:type="dxa"/>
            <w:vAlign w:val="bottom"/>
          </w:tcPr>
          <w:p>
            <w:pPr>
              <w:spacing w:after="0"/>
              <w:rPr>
                <w:sz w:val="16"/>
                <w:szCs w:val="16"/>
                <w:color w:val="auto"/>
              </w:rPr>
            </w:pPr>
          </w:p>
        </w:tc>
        <w:tc>
          <w:tcPr>
            <w:tcW w:w="92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65"/>
        </w:trPr>
        <w:tc>
          <w:tcPr>
            <w:tcW w:w="5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7"/>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diluted shares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37,125</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36,268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35,658</w:t>
            </w:r>
          </w:p>
        </w:tc>
      </w:tr>
      <w:tr>
        <w:trPr>
          <w:trHeight w:val="20"/>
        </w:trPr>
        <w:tc>
          <w:tcPr>
            <w:tcW w:w="5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w:t>
      </w:r>
    </w:p>
    <w:p>
      <w:pPr>
        <w:spacing w:after="0" w:line="93"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Statutory tax rates are used to calculate the tax effect of the adjustments.</w:t>
      </w:r>
    </w:p>
    <w:p>
      <w:pPr>
        <w:spacing w:after="0" w:line="20" w:lineRule="exact"/>
        <w:rPr>
          <w:rFonts w:ascii="Times New Roman" w:cs="Times New Roman" w:eastAsia="Times New Roman" w:hAnsi="Times New Roman"/>
          <w:sz w:val="12"/>
          <w:szCs w:val="12"/>
          <w:color w:val="auto"/>
        </w:rPr>
      </w:pPr>
    </w:p>
    <w:p>
      <w:pPr>
        <w:ind w:left="640" w:right="20" w:hanging="319"/>
        <w:spacing w:after="0" w:line="259" w:lineRule="auto"/>
        <w:tabs>
          <w:tab w:leader="none" w:pos="63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tax effect of non-cash equity-based compensation in 2024 includes a $6.2 million add-back for the reduction of deferred tax 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ind w:left="640" w:right="180" w:hanging="319"/>
        <w:spacing w:after="0" w:line="251" w:lineRule="auto"/>
        <w:tabs>
          <w:tab w:leader="none" w:pos="63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these amounts, $8.9 million and $8.6 million are included in cost of revenue for the three months ended December 31, 2025 and 2024, respectively. The remainder of acquisition-related amortization expense is included in general and administrative expense in the Statement of Operations.</w:t>
      </w:r>
    </w:p>
    <w:p>
      <w:pPr>
        <w:ind w:left="640" w:right="240" w:hanging="319"/>
        <w:spacing w:after="0" w:line="287" w:lineRule="auto"/>
        <w:tabs>
          <w:tab w:leader="none" w:pos="63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consists of unrealized gains and losses on investments, severance costs associated with strategic workforce optimizations, impairment charges recorded for long-term investments and lease assets, and legal contingencies.</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860" w:type="dxa"/>
            <w:vAlign w:val="bottom"/>
          </w:tcPr>
          <w:p>
            <w:pPr>
              <w:spacing w:after="0"/>
              <w:rPr>
                <w:sz w:val="14"/>
                <w:szCs w:val="14"/>
                <w:color w:val="auto"/>
              </w:rPr>
            </w:pPr>
          </w:p>
        </w:tc>
      </w:tr>
      <w:tr>
        <w:trPr>
          <w:trHeight w:val="166"/>
        </w:trPr>
        <w:tc>
          <w:tcPr>
            <w:tcW w:w="496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2"/>
                <w:szCs w:val="12"/>
                <w:b w:val="1"/>
                <w:bCs w:val="1"/>
                <w:color w:val="auto"/>
                <w:w w:val="91"/>
              </w:rPr>
              <w:t>2024</w:t>
            </w:r>
          </w:p>
        </w:tc>
      </w:tr>
      <w:tr>
        <w:trPr>
          <w:trHeight w:val="19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(16,019)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45,496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35,932</w:t>
            </w:r>
          </w:p>
        </w:tc>
      </w:tr>
      <w:tr>
        <w:trPr>
          <w:trHeight w:val="190"/>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5"/>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4,078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16,826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10,561</w:t>
            </w:r>
          </w:p>
        </w:tc>
      </w:tr>
      <w:tr>
        <w:trPr>
          <w:trHeight w:val="190"/>
        </w:trPr>
        <w:tc>
          <w:tcPr>
            <w:tcW w:w="4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tcPr>
          <w:p>
            <w:pPr>
              <w:spacing w:after="0"/>
              <w:rPr>
                <w:sz w:val="16"/>
                <w:szCs w:val="16"/>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(4,072)</w:t>
            </w:r>
          </w:p>
        </w:tc>
      </w:tr>
      <w:tr>
        <w:trPr>
          <w:trHeight w:val="205"/>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(3,602)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9,500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29,835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26,616</w:t>
            </w:r>
          </w:p>
        </w:tc>
      </w:tr>
      <w:tr>
        <w:trPr>
          <w:trHeight w:val="191"/>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22,735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23,287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90,894</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87,626</w:t>
            </w:r>
          </w:p>
        </w:tc>
      </w:tr>
      <w:tr>
        <w:trPr>
          <w:trHeight w:val="197"/>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EBITDA</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6,421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35,750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179,399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156,663</w:t>
            </w:r>
          </w:p>
        </w:tc>
      </w:tr>
      <w:tr>
        <w:trPr>
          <w:trHeight w:val="145"/>
        </w:trPr>
        <w:tc>
          <w:tcPr>
            <w:tcW w:w="4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7"/>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14,605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15,110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61,076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56,330</w:t>
            </w:r>
          </w:p>
        </w:tc>
      </w:tr>
      <w:tr>
        <w:trPr>
          <w:trHeight w:val="190"/>
        </w:trPr>
        <w:tc>
          <w:tcPr>
            <w:tcW w:w="4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Giphy Retention Compensation Expense - non-recurring</w:t>
            </w:r>
          </w:p>
        </w:tc>
        <w:tc>
          <w:tcPr>
            <w:tcW w:w="34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1,436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22,116</w:t>
            </w:r>
          </w:p>
        </w:tc>
      </w:tr>
      <w:tr>
        <w:trPr>
          <w:trHeight w:val="205"/>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Merger related costs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7,252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34,906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2,750</w:t>
            </w:r>
          </w:p>
        </w:tc>
      </w:tr>
      <w:tr>
        <w:trPr>
          <w:trHeight w:val="190"/>
        </w:trPr>
        <w:tc>
          <w:tcPr>
            <w:tcW w:w="4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loss</w:t>
            </w:r>
          </w:p>
        </w:tc>
        <w:tc>
          <w:tcPr>
            <w:tcW w:w="34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2,463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1,831</w:t>
            </w:r>
          </w:p>
        </w:tc>
      </w:tr>
      <w:tr>
        <w:trPr>
          <w:trHeight w:val="205"/>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loss / (gain) on investment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13,220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(20,909)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(2,160)</w:t>
            </w:r>
          </w:p>
        </w:tc>
      </w:tr>
      <w:tr>
        <w:trPr>
          <w:trHeight w:val="197"/>
        </w:trPr>
        <w:tc>
          <w:tcPr>
            <w:tcW w:w="4960" w:type="dxa"/>
            <w:vAlign w:val="bottom"/>
            <w:tcBorders>
              <w:bottom w:val="single" w:sz="8" w:color="CCEEFF"/>
            </w:tcBorders>
          </w:tcPr>
          <w:p>
            <w:pPr>
              <w:ind w:left="220"/>
              <w:spacing w:after="0" w:line="197"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4,345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4,484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13,447</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9,585</w:t>
            </w:r>
          </w:p>
        </w:tc>
      </w:tr>
      <w:tr>
        <w:trPr>
          <w:trHeight w:val="216"/>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46,789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59,069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271,818</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247,115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91"/>
        </w:trPr>
        <w:tc>
          <w:tcPr>
            <w:tcW w:w="4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19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220,221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250,306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989,925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935,262</w:t>
            </w:r>
          </w:p>
        </w:tc>
      </w:tr>
      <w:tr>
        <w:trPr>
          <w:trHeight w:val="19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 income margin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23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Other consists of severance costs associated with strategic workforce optimizations, impairment charges recorded for long-term investments and lease assets, and legal contingencies.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860" w:type="dxa"/>
            <w:vAlign w:val="bottom"/>
          </w:tcPr>
          <w:p>
            <w:pPr>
              <w:spacing w:after="0"/>
              <w:rPr>
                <w:sz w:val="14"/>
                <w:szCs w:val="14"/>
                <w:color w:val="auto"/>
              </w:rPr>
            </w:pPr>
          </w:p>
        </w:tc>
      </w:tr>
      <w:tr>
        <w:trPr>
          <w:trHeight w:val="166"/>
        </w:trPr>
        <w:tc>
          <w:tcPr>
            <w:tcW w:w="494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w w:val="91"/>
              </w:rPr>
              <w:t>2024</w:t>
            </w:r>
          </w:p>
        </w:tc>
      </w:tr>
      <w:tr>
        <w:trPr>
          <w:trHeight w:val="19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Reported revenue (in thousands)</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220,221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250,306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989,925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935,262</w:t>
            </w:r>
          </w:p>
        </w:tc>
      </w:tr>
      <w:tr>
        <w:trPr>
          <w:trHeight w:val="158"/>
        </w:trPr>
        <w:tc>
          <w:tcPr>
            <w:tcW w:w="4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9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9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on a constant currency basis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64"/>
        </w:trPr>
        <w:tc>
          <w:tcPr>
            <w:tcW w:w="4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Content reported revenue (in thousands)</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189,551</w:t>
            </w:r>
          </w:p>
        </w:tc>
        <w:tc>
          <w:tcPr>
            <w:tcW w:w="1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212,517</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786,661</w:t>
            </w:r>
          </w:p>
        </w:tc>
        <w:tc>
          <w:tcPr>
            <w:tcW w:w="100" w:type="dxa"/>
            <w:vAlign w:val="bottom"/>
          </w:tcPr>
          <w:p>
            <w:pPr>
              <w:spacing w:after="0"/>
              <w:rPr>
                <w:sz w:val="16"/>
                <w:szCs w:val="16"/>
                <w:color w:val="auto"/>
              </w:rPr>
            </w:pPr>
          </w:p>
        </w:tc>
        <w:tc>
          <w:tcPr>
            <w:tcW w:w="6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760,011</w:t>
            </w:r>
          </w:p>
        </w:tc>
      </w:tr>
      <w:tr>
        <w:trPr>
          <w:trHeight w:val="20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Content revenue growth</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Content revenue growth on a constant currency basis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64"/>
        </w:trPr>
        <w:tc>
          <w:tcPr>
            <w:tcW w:w="4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Data, Distribution, and Services reported revenue (in thousands)</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30,670</w:t>
            </w:r>
          </w:p>
        </w:tc>
        <w:tc>
          <w:tcPr>
            <w:tcW w:w="1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37,789</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203,264</w:t>
            </w:r>
          </w:p>
        </w:tc>
        <w:tc>
          <w:tcPr>
            <w:tcW w:w="100" w:type="dxa"/>
            <w:vAlign w:val="bottom"/>
          </w:tcPr>
          <w:p>
            <w:pPr>
              <w:spacing w:after="0"/>
              <w:rPr>
                <w:sz w:val="16"/>
                <w:szCs w:val="16"/>
                <w:color w:val="auto"/>
              </w:rPr>
            </w:pPr>
          </w:p>
        </w:tc>
        <w:tc>
          <w:tcPr>
            <w:tcW w:w="6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175,251</w:t>
            </w:r>
          </w:p>
        </w:tc>
      </w:tr>
      <w:tr>
        <w:trPr>
          <w:trHeight w:val="20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Data, Distribution, and Services revenue growth</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8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Data, Distribution, and Services revenue growth on a constant currency basis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66"/>
        </w:trPr>
        <w:tc>
          <w:tcPr>
            <w:tcW w:w="5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8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information:</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36,213</w:t>
            </w:r>
          </w:p>
        </w:tc>
        <w:tc>
          <w:tcPr>
            <w:tcW w:w="100" w:type="dxa"/>
            <w:vAlign w:val="bottom"/>
          </w:tcPr>
          <w:p>
            <w:pPr>
              <w:spacing w:after="0"/>
              <w:rPr>
                <w:sz w:val="16"/>
                <w:szCs w:val="16"/>
                <w:color w:val="auto"/>
              </w:rPr>
            </w:pP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7,966</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166,686</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32,646</w:t>
            </w:r>
          </w:p>
        </w:tc>
      </w:tr>
      <w:tr>
        <w:trPr>
          <w:trHeight w:val="20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(166,168)</w:t>
            </w: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 provided by financing activities</w:t>
            </w:r>
          </w:p>
        </w:tc>
        <w:tc>
          <w:tcPr>
            <w:tcW w:w="88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(12,827)</w:t>
            </w:r>
          </w:p>
        </w:tc>
        <w:tc>
          <w:tcPr>
            <w:tcW w:w="100" w:type="dxa"/>
            <w:vAlign w:val="bottom"/>
          </w:tcPr>
          <w:p>
            <w:pPr>
              <w:spacing w:after="0"/>
              <w:rPr>
                <w:sz w:val="16"/>
                <w:szCs w:val="16"/>
                <w:color w:val="auto"/>
              </w:rPr>
            </w:pP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(59,098)</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150,096</w:t>
            </w:r>
          </w:p>
        </w:tc>
      </w:tr>
      <w:tr>
        <w:trPr>
          <w:trHeight w:val="112"/>
        </w:trPr>
        <w:tc>
          <w:tcPr>
            <w:tcW w:w="5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free cash flow:</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36,213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32,646</w:t>
            </w:r>
          </w:p>
        </w:tc>
      </w:tr>
      <w:tr>
        <w:trPr>
          <w:trHeight w:val="190"/>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(47,215)</w:t>
            </w:r>
          </w:p>
        </w:tc>
      </w:tr>
      <w:tr>
        <w:trPr>
          <w:trHeight w:val="20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Content acquisitions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r>
      <w:tr>
        <w:trPr>
          <w:trHeight w:val="190"/>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received related to Giphy Retention Compensation</w:t>
            </w:r>
          </w:p>
        </w:tc>
        <w:tc>
          <w:tcPr>
            <w:tcW w:w="880" w:type="dxa"/>
            <w:vAlign w:val="bottom"/>
          </w:tcPr>
          <w:p>
            <w:pPr>
              <w:spacing w:after="0"/>
              <w:rPr>
                <w:sz w:val="16"/>
                <w:szCs w:val="16"/>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63,971</w:t>
            </w:r>
          </w:p>
        </w:tc>
      </w:tr>
      <w:tr>
        <w:trPr>
          <w:trHeight w:val="205"/>
        </w:trPr>
        <w:tc>
          <w:tcPr>
            <w:tcW w:w="522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4"/>
                <w:szCs w:val="14"/>
                <w:color w:val="auto"/>
              </w:rPr>
              <w:t>Cash paid for Envato Seller Obligations</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63,320</w:t>
            </w:r>
          </w:p>
        </w:tc>
      </w:tr>
      <w:tr>
        <w:trPr>
          <w:trHeight w:val="191"/>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Merger related costs</w:t>
            </w:r>
          </w:p>
        </w:tc>
        <w:tc>
          <w:tcPr>
            <w:tcW w:w="880" w:type="dxa"/>
            <w:vAlign w:val="bottom"/>
          </w:tcPr>
          <w:p>
            <w:pPr>
              <w:spacing w:after="0"/>
              <w:rPr>
                <w:sz w:val="16"/>
                <w:szCs w:val="16"/>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7,520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Free Cash Flow</w:t>
            </w:r>
          </w:p>
        </w:tc>
        <w:tc>
          <w:tcPr>
            <w:tcW w:w="88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33,411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108,693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40" w:firstLine="5"/>
        <w:spacing w:after="0" w:line="288"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Envato Seller Obligations relate to payments made on behalf of the Envato sellers’ after the closing of the acquisition. These liabilities were funded from the acquired cash on the Envato balance sheet and are not indicative of obligations and cash flows to be incurred prospectively.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66"/>
        </w:trPr>
        <w:tc>
          <w:tcPr>
            <w:tcW w:w="5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9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Content</w:t>
            </w:r>
          </w:p>
        </w:tc>
        <w:tc>
          <w:tcPr>
            <w:tcW w:w="8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189,551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786,661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760,011</w:t>
            </w:r>
          </w:p>
        </w:tc>
      </w:tr>
      <w:tr>
        <w:trPr>
          <w:trHeight w:val="191"/>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Data, Distribution, and Services</w:t>
            </w:r>
          </w:p>
        </w:tc>
        <w:tc>
          <w:tcPr>
            <w:tcW w:w="8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30,670</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37,789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203,264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175,251</w:t>
            </w:r>
          </w:p>
        </w:tc>
      </w:tr>
      <w:tr>
        <w:trPr>
          <w:trHeight w:val="191"/>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220,221</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250,306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989,925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935,262</w:t>
            </w:r>
          </w:p>
        </w:tc>
      </w:tr>
      <w:tr>
        <w:trPr>
          <w:trHeight w:val="92"/>
        </w:trPr>
        <w:tc>
          <w:tcPr>
            <w:tcW w:w="5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97"/>
        </w:trPr>
        <w:tc>
          <w:tcPr>
            <w:tcW w:w="522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color w:val="auto"/>
              </w:rPr>
              <w:t>Change in total deferred revenue</w:t>
            </w:r>
            <w:r>
              <w:rPr>
                <w:rFonts w:ascii="Times New Roman" w:cs="Times New Roman" w:eastAsia="Times New Roman" w:hAnsi="Times New Roman"/>
                <w:sz w:val="18"/>
                <w:szCs w:val="18"/>
                <w:color w:val="auto"/>
                <w:vertAlign w:val="superscript"/>
              </w:rPr>
              <w:t>(1)</w:t>
            </w: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(12,505)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(24,862)</w:t>
            </w:r>
          </w:p>
        </w:tc>
      </w:tr>
      <w:tr>
        <w:trPr>
          <w:trHeight w:val="184"/>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billings</w:t>
            </w:r>
          </w:p>
        </w:tc>
        <w:tc>
          <w:tcPr>
            <w:tcW w:w="8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221,640</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249,428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977,420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910,400</w:t>
            </w:r>
          </w:p>
        </w:tc>
      </w:tr>
      <w:tr>
        <w:trPr>
          <w:trHeight w:val="26"/>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Change in total deferred revenue excludes deferred revenue acquired through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Historical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71"/>
        </w:trPr>
        <w:tc>
          <w:tcPr>
            <w:tcW w:w="4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2"/>
                <w:szCs w:val="12"/>
                <w:b w:val="1"/>
                <w:bCs w:val="1"/>
                <w:color w:val="auto"/>
              </w:rPr>
              <w:t>12/31/25</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9/30/25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6/30/25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3/31/25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line="172" w:lineRule="exact"/>
              <w:rPr>
                <w:sz w:val="20"/>
                <w:szCs w:val="20"/>
                <w:color w:val="auto"/>
              </w:rPr>
            </w:pPr>
            <w:r>
              <w:rPr>
                <w:rFonts w:ascii="Times New Roman" w:cs="Times New Roman" w:eastAsia="Times New Roman" w:hAnsi="Times New Roman"/>
                <w:sz w:val="12"/>
                <w:szCs w:val="12"/>
                <w:b w:val="1"/>
                <w:bCs w:val="1"/>
                <w:color w:val="auto"/>
              </w:rPr>
              <w:t>12/31/24</w:t>
            </w:r>
            <w:r>
              <w:rPr>
                <w:rFonts w:ascii="Times New Roman" w:cs="Times New Roman" w:eastAsia="Times New Roman" w:hAnsi="Times New Roman"/>
                <w:sz w:val="15"/>
                <w:szCs w:val="15"/>
                <w:b w:val="1"/>
                <w:bCs w:val="1"/>
                <w:color w:val="auto"/>
                <w:vertAlign w:val="superscript"/>
              </w:rPr>
              <w:t>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2"/>
              <w:spacing w:after="0" w:line="172" w:lineRule="exact"/>
              <w:rPr>
                <w:sz w:val="20"/>
                <w:szCs w:val="20"/>
                <w:color w:val="auto"/>
              </w:rPr>
            </w:pPr>
            <w:r>
              <w:rPr>
                <w:rFonts w:ascii="Times New Roman" w:cs="Times New Roman" w:eastAsia="Times New Roman" w:hAnsi="Times New Roman"/>
                <w:sz w:val="12"/>
                <w:szCs w:val="12"/>
                <w:b w:val="1"/>
                <w:bCs w:val="1"/>
                <w:color w:val="auto"/>
              </w:rPr>
              <w:t>9/30/24</w:t>
            </w:r>
            <w:r>
              <w:rPr>
                <w:rFonts w:ascii="Times New Roman" w:cs="Times New Roman" w:eastAsia="Times New Roman" w:hAnsi="Times New Roman"/>
                <w:sz w:val="15"/>
                <w:szCs w:val="15"/>
                <w:b w:val="1"/>
                <w:bCs w:val="1"/>
                <w:color w:val="auto"/>
                <w:vertAlign w:val="superscript"/>
              </w:rPr>
              <w:t>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3/31/24</w:t>
            </w:r>
          </w:p>
        </w:tc>
      </w:tr>
      <w:tr>
        <w:trPr>
          <w:trHeight w:val="256"/>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Subscribers (end of period, in thousands)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211"/>
        </w:trPr>
        <w:tc>
          <w:tcPr>
            <w:tcW w:w="44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Subscriber revenue (in millions) </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r>
      <w:tr>
        <w:trPr>
          <w:trHeight w:val="263"/>
        </w:trPr>
        <w:tc>
          <w:tcPr>
            <w:tcW w:w="4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11"/>
        </w:trPr>
        <w:tc>
          <w:tcPr>
            <w:tcW w:w="44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Average revenue per customer (last twelve months) </w:t>
            </w:r>
            <w:r>
              <w:rPr>
                <w:rFonts w:ascii="Times New Roman" w:cs="Times New Roman" w:eastAsia="Times New Roman" w:hAnsi="Times New Roman"/>
                <w:sz w:val="20"/>
                <w:szCs w:val="20"/>
                <w:color w:val="auto"/>
                <w:vertAlign w:val="superscript"/>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272"/>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Paid downloads (in millions) </w:t>
            </w:r>
            <w:r>
              <w:rPr>
                <w:rFonts w:ascii="Times New Roman" w:cs="Times New Roman" w:eastAsia="Times New Roman" w:hAnsi="Times New Roman"/>
                <w:sz w:val="20"/>
                <w:szCs w:val="20"/>
                <w:color w:val="auto"/>
                <w:vertAlign w:val="superscript"/>
              </w:rPr>
              <w:t>(4)</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r>
    </w:tbl>
    <w:p>
      <w:pPr>
        <w:spacing w:after="0" w:line="11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2025 metrics include the counts and revenues from Envato for the three and nine months ended September 30, 2025, which was acquired in July 22, 2024.</w:t>
      </w:r>
    </w:p>
    <w:p>
      <w:pPr>
        <w:spacing w:after="0" w:line="74" w:lineRule="exact"/>
        <w:rPr>
          <w:sz w:val="20"/>
          <w:szCs w:val="20"/>
          <w:color w:val="auto"/>
        </w:rPr>
      </w:pPr>
    </w:p>
    <w:p>
      <w:pPr>
        <w:ind w:left="180" w:hanging="175"/>
        <w:spacing w:after="0"/>
        <w:tabs>
          <w:tab w:leader="none" w:pos="1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w:t>
      </w:r>
    </w:p>
    <w:p>
      <w:pPr>
        <w:spacing w:after="0" w:line="125"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63"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w:t>
      </w:r>
    </w:p>
    <w:p>
      <w:pPr>
        <w:spacing w:after="0" w:line="63"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and Subscriber Revenue are presented as if Envato was acquired as of the beginning of the period presented. Average revenue per customer includes Envato historical results over the last twelve month period.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by expense category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6/30/25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3/31/25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9/30/24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6/30/24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3/31/24</w:t>
            </w:r>
          </w:p>
        </w:tc>
      </w:tr>
      <w:tr>
        <w:trPr>
          <w:trHeight w:val="25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21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w:t>
            </w:r>
          </w:p>
        </w:tc>
      </w:tr>
      <w:tr>
        <w:trPr>
          <w:trHeight w:val="189"/>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non-cash equity-based compensation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17,884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15,110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15,094</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11,150</w:t>
            </w:r>
          </w:p>
        </w:tc>
      </w:tr>
      <w:tr>
        <w:trPr>
          <w:trHeight w:val="21"/>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by expense category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3/31/25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9/30/24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3/31/24</w:t>
            </w:r>
          </w:p>
        </w:tc>
      </w:tr>
      <w:tr>
        <w:trPr>
          <w:trHeight w:val="48"/>
        </w:trPr>
        <w:tc>
          <w:tcPr>
            <w:tcW w:w="4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1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19,874</w:t>
            </w:r>
          </w:p>
        </w:tc>
      </w:tr>
      <w:tr>
        <w:trPr>
          <w:trHeight w:val="20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w:t>
            </w:r>
          </w:p>
        </w:tc>
      </w:tr>
      <w:tr>
        <w:trPr>
          <w:trHeight w:val="216"/>
        </w:trPr>
        <w:tc>
          <w:tcPr>
            <w:tcW w:w="4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21,263</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240"/>
      </w:cols>
      <w:pgMar w:left="320" w:top="1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4"/>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2026-02-17T06:12:19Z</dcterms:created>
  <dcterms:modified xsi:type="dcterms:W3CDTF">2026-02-17T06:12:19Z</dcterms:modified>
</cp:coreProperties>
</file>