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974725</wp:posOffset>
            </wp:positionV>
            <wp:extent cx="69519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16510"/>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1016635</wp:posOffset>
            </wp:positionV>
            <wp:extent cx="6951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jc w:val="center"/>
        <w:ind w:right="220"/>
        <w:spacing w:after="0"/>
        <w:rPr>
          <w:sz w:val="20"/>
          <w:szCs w:val="20"/>
          <w:color w:val="auto"/>
        </w:rPr>
      </w:pPr>
      <w:r>
        <w:rPr>
          <w:rFonts w:ascii="Arial" w:cs="Arial" w:eastAsia="Arial" w:hAnsi="Arial"/>
          <w:sz w:val="28"/>
          <w:szCs w:val="28"/>
          <w:b w:val="1"/>
          <w:bCs w:val="1"/>
          <w:color w:val="auto"/>
        </w:rPr>
        <w:t>UNITED STATES</w:t>
      </w:r>
    </w:p>
    <w:p>
      <w:pPr>
        <w:spacing w:after="0" w:line="125" w:lineRule="exact"/>
        <w:rPr>
          <w:sz w:val="24"/>
          <w:szCs w:val="24"/>
          <w:color w:val="auto"/>
        </w:rPr>
      </w:pPr>
    </w:p>
    <w:p>
      <w:pPr>
        <w:jc w:val="center"/>
        <w:ind w:right="2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2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97790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5" w:lineRule="exact"/>
        <w:rPr>
          <w:sz w:val="24"/>
          <w:szCs w:val="24"/>
          <w:color w:val="auto"/>
        </w:rPr>
      </w:pPr>
    </w:p>
    <w:p>
      <w:pPr>
        <w:ind w:left="45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43180</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3" w:lineRule="exact"/>
        <w:rPr>
          <w:sz w:val="24"/>
          <w:szCs w:val="24"/>
          <w:color w:val="auto"/>
        </w:rPr>
      </w:pPr>
    </w:p>
    <w:p>
      <w:pPr>
        <w:jc w:val="center"/>
        <w:ind w:right="220"/>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ind w:right="220"/>
        <w:spacing w:after="0"/>
        <w:rPr>
          <w:sz w:val="20"/>
          <w:szCs w:val="20"/>
          <w:color w:val="auto"/>
        </w:rPr>
      </w:pPr>
      <w:r>
        <w:rPr>
          <w:rFonts w:ascii="Arial" w:cs="Arial" w:eastAsia="Arial" w:hAnsi="Arial"/>
          <w:sz w:val="21"/>
          <w:szCs w:val="21"/>
          <w:b w:val="1"/>
          <w:bCs w:val="1"/>
          <w:color w:val="auto"/>
        </w:rPr>
        <w:t>Pursuant to Section 13 or 15(d) of the</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21"/>
          <w:szCs w:val="21"/>
          <w:b w:val="1"/>
          <w:bCs w:val="1"/>
          <w:color w:val="auto"/>
        </w:rPr>
        <w:t>Securities Exchange Act of 1934</w:t>
      </w:r>
    </w:p>
    <w:p>
      <w:pPr>
        <w:spacing w:after="0" w:line="47" w:lineRule="exact"/>
        <w:rPr>
          <w:sz w:val="24"/>
          <w:szCs w:val="24"/>
          <w:color w:val="auto"/>
        </w:rPr>
      </w:pPr>
    </w:p>
    <w:p>
      <w:pPr>
        <w:ind w:left="21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30480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40" w:lineRule="exact"/>
        <w:rPr>
          <w:sz w:val="24"/>
          <w:szCs w:val="24"/>
          <w:color w:val="auto"/>
        </w:rPr>
      </w:pPr>
    </w:p>
    <w:p>
      <w:pPr>
        <w:jc w:val="center"/>
        <w:ind w:right="220"/>
        <w:spacing w:after="0"/>
        <w:rPr>
          <w:sz w:val="20"/>
          <w:szCs w:val="20"/>
          <w:color w:val="auto"/>
        </w:rPr>
      </w:pPr>
      <w:r>
        <w:rPr>
          <w:rFonts w:ascii="Arial" w:cs="Arial" w:eastAsia="Arial" w:hAnsi="Arial"/>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43180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75" w:lineRule="exact"/>
        <w:rPr>
          <w:sz w:val="24"/>
          <w:szCs w:val="24"/>
          <w:color w:val="auto"/>
        </w:rPr>
      </w:pPr>
    </w:p>
    <w:p>
      <w:pPr>
        <w:jc w:val="center"/>
        <w:ind w:right="2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26670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54" w:lineRule="exact"/>
        <w:rPr>
          <w:sz w:val="24"/>
          <w:szCs w:val="24"/>
          <w:color w:val="auto"/>
        </w:rPr>
      </w:pPr>
    </w:p>
    <w:tbl>
      <w:tblPr>
        <w:tblLayout w:type="fixed"/>
        <w:tblInd w:w="820" w:type="dxa"/>
        <w:tblCellMar>
          <w:top w:w="0" w:type="dxa"/>
          <w:left w:w="0" w:type="dxa"/>
          <w:bottom w:w="0" w:type="dxa"/>
          <w:right w:w="0" w:type="dxa"/>
        </w:tblCellMar>
      </w:tblPr>
      <w:tr>
        <w:trPr>
          <w:trHeight w:val="228"/>
        </w:trPr>
        <w:tc>
          <w:tcPr>
            <w:tcW w:w="2040" w:type="dxa"/>
            <w:vAlign w:val="bottom"/>
          </w:tcPr>
          <w:p>
            <w:pPr>
              <w:jc w:val="center"/>
              <w:ind w:right="484"/>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8"/>
              </w:rPr>
              <w:t>001-35669</w:t>
            </w:r>
          </w:p>
        </w:tc>
        <w:tc>
          <w:tcPr>
            <w:tcW w:w="1720" w:type="dxa"/>
            <w:vAlign w:val="bottom"/>
          </w:tcPr>
          <w:p>
            <w:pPr>
              <w:jc w:val="center"/>
              <w:ind w:left="604"/>
              <w:spacing w:after="0"/>
              <w:rPr>
                <w:sz w:val="20"/>
                <w:szCs w:val="20"/>
                <w:color w:val="auto"/>
              </w:rPr>
            </w:pPr>
            <w:r>
              <w:rPr>
                <w:rFonts w:ascii="Arial" w:cs="Arial" w:eastAsia="Arial" w:hAnsi="Arial"/>
                <w:sz w:val="18"/>
                <w:szCs w:val="18"/>
                <w:b w:val="1"/>
                <w:bCs w:val="1"/>
                <w:color w:val="auto"/>
                <w:w w:val="87"/>
              </w:rPr>
              <w:t>80-0812659</w:t>
            </w:r>
          </w:p>
        </w:tc>
      </w:tr>
      <w:tr>
        <w:trPr>
          <w:trHeight w:val="206"/>
        </w:trPr>
        <w:tc>
          <w:tcPr>
            <w:tcW w:w="2040" w:type="dxa"/>
            <w:vAlign w:val="bottom"/>
          </w:tcPr>
          <w:p>
            <w:pPr>
              <w:jc w:val="center"/>
              <w:ind w:right="484"/>
              <w:spacing w:after="0"/>
              <w:rPr>
                <w:sz w:val="20"/>
                <w:szCs w:val="20"/>
                <w:color w:val="auto"/>
              </w:rPr>
            </w:pPr>
            <w:r>
              <w:rPr>
                <w:rFonts w:ascii="Arial" w:cs="Arial" w:eastAsia="Arial" w:hAnsi="Arial"/>
                <w:sz w:val="14"/>
                <w:szCs w:val="14"/>
                <w:color w:val="auto"/>
                <w:w w:val="92"/>
              </w:rPr>
              <w:t>(State or other jurisdiction</w:t>
            </w:r>
          </w:p>
        </w:tc>
        <w:tc>
          <w:tcPr>
            <w:tcW w:w="5400" w:type="dxa"/>
            <w:vAlign w:val="bottom"/>
          </w:tcPr>
          <w:p>
            <w:pPr>
              <w:jc w:val="center"/>
              <w:spacing w:after="0"/>
              <w:rPr>
                <w:sz w:val="20"/>
                <w:szCs w:val="20"/>
                <w:color w:val="auto"/>
              </w:rPr>
            </w:pPr>
            <w:r>
              <w:rPr>
                <w:rFonts w:ascii="Arial" w:cs="Arial" w:eastAsia="Arial" w:hAnsi="Arial"/>
                <w:sz w:val="14"/>
                <w:szCs w:val="14"/>
                <w:color w:val="auto"/>
                <w:w w:val="93"/>
              </w:rPr>
              <w:t>(Commission</w:t>
            </w:r>
          </w:p>
        </w:tc>
        <w:tc>
          <w:tcPr>
            <w:tcW w:w="1720" w:type="dxa"/>
            <w:vAlign w:val="bottom"/>
          </w:tcPr>
          <w:p>
            <w:pPr>
              <w:jc w:val="center"/>
              <w:ind w:left="604"/>
              <w:spacing w:after="0"/>
              <w:rPr>
                <w:sz w:val="20"/>
                <w:szCs w:val="20"/>
                <w:color w:val="auto"/>
              </w:rPr>
            </w:pPr>
            <w:r>
              <w:rPr>
                <w:rFonts w:ascii="Arial" w:cs="Arial" w:eastAsia="Arial" w:hAnsi="Arial"/>
                <w:sz w:val="14"/>
                <w:szCs w:val="14"/>
                <w:color w:val="auto"/>
                <w:w w:val="92"/>
              </w:rPr>
              <w:t>(IRS Employer</w:t>
            </w:r>
          </w:p>
        </w:tc>
      </w:tr>
      <w:tr>
        <w:trPr>
          <w:trHeight w:val="179"/>
        </w:trPr>
        <w:tc>
          <w:tcPr>
            <w:tcW w:w="2040" w:type="dxa"/>
            <w:vAlign w:val="bottom"/>
          </w:tcPr>
          <w:p>
            <w:pPr>
              <w:jc w:val="center"/>
              <w:ind w:right="484"/>
              <w:spacing w:after="0"/>
              <w:rPr>
                <w:sz w:val="20"/>
                <w:szCs w:val="20"/>
                <w:color w:val="auto"/>
              </w:rPr>
            </w:pPr>
            <w:r>
              <w:rPr>
                <w:rFonts w:ascii="Arial" w:cs="Arial" w:eastAsia="Arial" w:hAnsi="Arial"/>
                <w:sz w:val="14"/>
                <w:szCs w:val="14"/>
                <w:color w:val="auto"/>
                <w:w w:val="94"/>
              </w:rPr>
              <w:t>of incorporation)</w:t>
            </w:r>
          </w:p>
        </w:tc>
        <w:tc>
          <w:tcPr>
            <w:tcW w:w="5400" w:type="dxa"/>
            <w:vAlign w:val="bottom"/>
          </w:tcPr>
          <w:p>
            <w:pPr>
              <w:jc w:val="center"/>
              <w:spacing w:after="0"/>
              <w:rPr>
                <w:sz w:val="20"/>
                <w:szCs w:val="20"/>
                <w:color w:val="auto"/>
              </w:rPr>
            </w:pPr>
            <w:r>
              <w:rPr>
                <w:rFonts w:ascii="Arial" w:cs="Arial" w:eastAsia="Arial" w:hAnsi="Arial"/>
                <w:sz w:val="14"/>
                <w:szCs w:val="14"/>
                <w:color w:val="auto"/>
                <w:w w:val="93"/>
              </w:rPr>
              <w:t>File Number)</w:t>
            </w:r>
          </w:p>
        </w:tc>
        <w:tc>
          <w:tcPr>
            <w:tcW w:w="1720" w:type="dxa"/>
            <w:vAlign w:val="bottom"/>
          </w:tcPr>
          <w:p>
            <w:pPr>
              <w:jc w:val="center"/>
              <w:ind w:left="604"/>
              <w:spacing w:after="0"/>
              <w:rPr>
                <w:sz w:val="20"/>
                <w:szCs w:val="20"/>
                <w:color w:val="auto"/>
              </w:rPr>
            </w:pPr>
            <w:r>
              <w:rPr>
                <w:rFonts w:ascii="Arial" w:cs="Arial" w:eastAsia="Arial" w:hAnsi="Arial"/>
                <w:sz w:val="14"/>
                <w:szCs w:val="14"/>
                <w:color w:val="auto"/>
                <w:w w:val="95"/>
              </w:rPr>
              <w:t>Identification No.)</w:t>
            </w:r>
          </w:p>
        </w:tc>
      </w:tr>
      <w:tr>
        <w:trPr>
          <w:trHeight w:val="413"/>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Arial" w:cs="Arial" w:eastAsia="Arial" w:hAnsi="Arial"/>
                <w:sz w:val="18"/>
                <w:szCs w:val="18"/>
                <w:b w:val="1"/>
                <w:bCs w:val="1"/>
                <w:color w:val="auto"/>
                <w:w w:val="88"/>
              </w:rPr>
              <w:t>350 Fifth Avenue, 20th Floor</w:t>
            </w:r>
          </w:p>
        </w:tc>
        <w:tc>
          <w:tcPr>
            <w:tcW w:w="1720" w:type="dxa"/>
            <w:vAlign w:val="bottom"/>
          </w:tcPr>
          <w:p>
            <w:pPr>
              <w:spacing w:after="0"/>
              <w:rPr>
                <w:sz w:val="24"/>
                <w:szCs w:val="24"/>
                <w:color w:val="auto"/>
              </w:rPr>
            </w:pPr>
          </w:p>
        </w:tc>
      </w:tr>
      <w:tr>
        <w:trPr>
          <w:trHeight w:val="217"/>
        </w:trPr>
        <w:tc>
          <w:tcPr>
            <w:tcW w:w="2040" w:type="dxa"/>
            <w:vAlign w:val="bottom"/>
          </w:tcPr>
          <w:p>
            <w:pPr>
              <w:spacing w:after="0"/>
              <w:rPr>
                <w:sz w:val="18"/>
                <w:szCs w:val="18"/>
                <w:color w:val="auto"/>
              </w:rPr>
            </w:pPr>
          </w:p>
        </w:tc>
        <w:tc>
          <w:tcPr>
            <w:tcW w:w="5400" w:type="dxa"/>
            <w:vAlign w:val="bottom"/>
          </w:tcPr>
          <w:p>
            <w:pPr>
              <w:jc w:val="center"/>
              <w:ind w:right="17"/>
              <w:spacing w:after="0"/>
              <w:rPr>
                <w:sz w:val="20"/>
                <w:szCs w:val="20"/>
                <w:color w:val="auto"/>
              </w:rPr>
            </w:pPr>
            <w:r>
              <w:rPr>
                <w:rFonts w:ascii="Arial" w:cs="Arial" w:eastAsia="Arial" w:hAnsi="Arial"/>
                <w:sz w:val="18"/>
                <w:szCs w:val="18"/>
                <w:b w:val="1"/>
                <w:bCs w:val="1"/>
                <w:color w:val="auto"/>
                <w:w w:val="89"/>
              </w:rPr>
              <w:t>New York, NY 10118</w:t>
            </w:r>
          </w:p>
        </w:tc>
        <w:tc>
          <w:tcPr>
            <w:tcW w:w="1720" w:type="dxa"/>
            <w:vAlign w:val="bottom"/>
          </w:tcPr>
          <w:p>
            <w:pPr>
              <w:spacing w:after="0"/>
              <w:rPr>
                <w:sz w:val="18"/>
                <w:szCs w:val="18"/>
                <w:color w:val="auto"/>
              </w:rPr>
            </w:pPr>
          </w:p>
        </w:tc>
      </w:tr>
      <w:tr>
        <w:trPr>
          <w:trHeight w:val="222"/>
        </w:trPr>
        <w:tc>
          <w:tcPr>
            <w:tcW w:w="2040" w:type="dxa"/>
            <w:vAlign w:val="bottom"/>
          </w:tcPr>
          <w:p>
            <w:pPr>
              <w:spacing w:after="0"/>
              <w:rPr>
                <w:sz w:val="19"/>
                <w:szCs w:val="19"/>
                <w:color w:val="auto"/>
              </w:rPr>
            </w:pPr>
          </w:p>
        </w:tc>
        <w:tc>
          <w:tcPr>
            <w:tcW w:w="5400" w:type="dxa"/>
            <w:vAlign w:val="bottom"/>
          </w:tcPr>
          <w:p>
            <w:pPr>
              <w:jc w:val="center"/>
              <w:ind w:right="37"/>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1720" w:type="dxa"/>
            <w:vAlign w:val="bottom"/>
          </w:tcPr>
          <w:p>
            <w:pPr>
              <w:spacing w:after="0"/>
              <w:rPr>
                <w:sz w:val="19"/>
                <w:szCs w:val="19"/>
                <w:color w:val="auto"/>
              </w:rPr>
            </w:pPr>
          </w:p>
        </w:tc>
      </w:tr>
      <w:tr>
        <w:trPr>
          <w:trHeight w:val="31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Arial" w:cs="Arial" w:eastAsia="Arial" w:hAnsi="Arial"/>
                <w:sz w:val="18"/>
                <w:szCs w:val="18"/>
                <w:color w:val="auto"/>
                <w:w w:val="89"/>
              </w:rPr>
              <w:t>(646) 710-3417</w:t>
            </w:r>
          </w:p>
        </w:tc>
        <w:tc>
          <w:tcPr>
            <w:tcW w:w="1720" w:type="dxa"/>
            <w:vAlign w:val="bottom"/>
          </w:tcPr>
          <w:p>
            <w:pPr>
              <w:spacing w:after="0"/>
              <w:rPr>
                <w:sz w:val="24"/>
                <w:szCs w:val="24"/>
                <w:color w:val="auto"/>
              </w:rPr>
            </w:pPr>
          </w:p>
        </w:tc>
      </w:tr>
    </w:tbl>
    <w:p>
      <w:pPr>
        <w:spacing w:after="0" w:line="94"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Not applicable</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provisions:</w:t>
      </w:r>
    </w:p>
    <w:p>
      <w:pPr>
        <w:ind w:left="860" w:hanging="591"/>
        <w:spacing w:after="0" w:line="182" w:lineRule="auto"/>
        <w:tabs>
          <w:tab w:leader="none" w:pos="860" w:val="left"/>
        </w:tabs>
        <w:numPr>
          <w:ilvl w:val="0"/>
          <w:numId w:val="1"/>
        </w:numPr>
        <w:rPr>
          <w:rFonts w:ascii="MS PGothic" w:cs="MS PGothic" w:eastAsia="MS PGothic" w:hAnsi="MS PGothic"/>
          <w:sz w:val="35"/>
          <w:szCs w:val="35"/>
          <w:color w:val="auto"/>
          <w:vertAlign w:val="subscript"/>
        </w:rPr>
      </w:pPr>
      <w:r>
        <w:rPr>
          <w:rFonts w:ascii="Arial" w:cs="Arial" w:eastAsia="Arial" w:hAnsi="Arial"/>
          <w:sz w:val="16"/>
          <w:szCs w:val="16"/>
          <w:color w:val="auto"/>
        </w:rPr>
        <w:t>Written communications pursuant to Rule 425 under the Securities Act (17 CFR 230.425)</w:t>
      </w:r>
    </w:p>
    <w:p>
      <w:pPr>
        <w:spacing w:after="0" w:line="85" w:lineRule="exact"/>
        <w:rPr>
          <w:sz w:val="24"/>
          <w:szCs w:val="24"/>
          <w:color w:val="auto"/>
        </w:rPr>
      </w:pPr>
    </w:p>
    <w:p>
      <w:pPr>
        <w:ind w:left="860" w:hanging="57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53" w:lineRule="exact"/>
        <w:rPr>
          <w:rFonts w:ascii="MS PGothic" w:cs="MS PGothic" w:eastAsia="MS PGothic" w:hAnsi="MS PGothic"/>
          <w:sz w:val="18"/>
          <w:szCs w:val="18"/>
          <w:color w:val="auto"/>
        </w:rPr>
      </w:pPr>
    </w:p>
    <w:p>
      <w:pPr>
        <w:ind w:left="860" w:hanging="57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18"/>
          <w:szCs w:val="18"/>
          <w:color w:val="auto"/>
        </w:rPr>
      </w:pPr>
    </w:p>
    <w:p>
      <w:pPr>
        <w:ind w:left="860" w:hanging="578"/>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0"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9"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4380" w:type="dxa"/>
            <w:vAlign w:val="bottom"/>
            <w:tcBorders>
              <w:top w:val="single" w:sz="8" w:color="auto"/>
            </w:tcBorders>
          </w:tcPr>
          <w:p>
            <w:pPr>
              <w:jc w:val="center"/>
              <w:ind w:left="250"/>
              <w:spacing w:after="0"/>
              <w:rPr>
                <w:sz w:val="20"/>
                <w:szCs w:val="20"/>
                <w:color w:val="auto"/>
              </w:rPr>
            </w:pPr>
            <w:r>
              <w:rPr>
                <w:rFonts w:ascii="Arial" w:cs="Arial" w:eastAsia="Arial" w:hAnsi="Arial"/>
                <w:sz w:val="14"/>
                <w:szCs w:val="14"/>
                <w:b w:val="1"/>
                <w:bCs w:val="1"/>
                <w:color w:val="auto"/>
                <w:w w:val="87"/>
              </w:rPr>
              <w:t>Title of each class</w:t>
            </w: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4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37"/>
        </w:trPr>
        <w:tc>
          <w:tcPr>
            <w:tcW w:w="43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r>
      <w:tr>
        <w:trPr>
          <w:trHeight w:val="180"/>
        </w:trPr>
        <w:tc>
          <w:tcPr>
            <w:tcW w:w="4380" w:type="dxa"/>
            <w:vAlign w:val="bottom"/>
          </w:tcPr>
          <w:p>
            <w:pPr>
              <w:jc w:val="center"/>
              <w:ind w:left="250"/>
              <w:spacing w:after="0"/>
              <w:rPr>
                <w:sz w:val="20"/>
                <w:szCs w:val="20"/>
                <w:color w:val="auto"/>
              </w:rPr>
            </w:pPr>
            <w:r>
              <w:rPr>
                <w:rFonts w:ascii="Arial" w:cs="Arial" w:eastAsia="Arial" w:hAnsi="Arial"/>
                <w:sz w:val="14"/>
                <w:szCs w:val="14"/>
                <w:b w:val="1"/>
                <w:bCs w:val="1"/>
                <w:color w:val="auto"/>
                <w:w w:val="89"/>
              </w:rPr>
              <w:t>Common Stock, $0.01 par value per share</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6"/>
              </w:rPr>
              <w:t>SSTK</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261" w:lineRule="exact"/>
        <w:rPr>
          <w:sz w:val="24"/>
          <w:szCs w:val="24"/>
          <w:color w:val="auto"/>
        </w:rPr>
      </w:pPr>
    </w:p>
    <w:p>
      <w:pPr>
        <w:ind w:left="620" w:right="16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620" w:hanging="453"/>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08" w:lineRule="exact"/>
        <w:rPr>
          <w:rFonts w:ascii="MS PGothic" w:cs="MS PGothic" w:eastAsia="MS PGothic" w:hAnsi="MS PGothic"/>
          <w:sz w:val="18"/>
          <w:szCs w:val="18"/>
          <w:color w:val="auto"/>
        </w:rPr>
      </w:pPr>
    </w:p>
    <w:p>
      <w:pPr>
        <w:ind w:left="620" w:right="140" w:hanging="453"/>
        <w:spacing w:after="0" w:line="261" w:lineRule="auto"/>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1322070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81280</wp:posOffset>
            </wp:positionV>
            <wp:extent cx="7135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106045</wp:posOffset>
            </wp:positionV>
            <wp:extent cx="713549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440" w:top="1440" w:right="239" w:bottom="1440" w:gutter="0" w:footer="0" w:header="0"/>
        </w:sectPr>
      </w:pPr>
    </w:p>
    <w:bookmarkStart w:id="1" w:name="page2"/>
    <w:bookmarkEnd w:id="1"/>
    <w:p>
      <w:pPr>
        <w:spacing w:after="0" w:line="326" w:lineRule="exact"/>
        <w:rPr>
          <w:sz w:val="20"/>
          <w:szCs w:val="20"/>
          <w:color w:val="auto"/>
        </w:rPr>
      </w:pPr>
    </w:p>
    <w:p>
      <w:pPr>
        <w:ind w:left="420"/>
        <w:spacing w:after="0"/>
        <w:tabs>
          <w:tab w:leader="none" w:pos="16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On August 1, 2023, Shutterstock, Inc. (the “Company”) issued a press release announcing its financial results for the fiscal period ended June 30, 2023.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to this current report and is incorporated herein by reference.</w:t>
      </w:r>
    </w:p>
    <w:p>
      <w:pPr>
        <w:spacing w:after="0" w:line="97"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ind w:left="420"/>
        <w:spacing w:after="0"/>
        <w:tabs>
          <w:tab w:leader="none" w:pos="16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31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0"/>
        <w:spacing w:after="0"/>
        <w:tabs>
          <w:tab w:leader="none" w:pos="15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7" w:lineRule="exact"/>
        <w:rPr>
          <w:sz w:val="20"/>
          <w:szCs w:val="20"/>
          <w:color w:val="auto"/>
        </w:rPr>
      </w:pPr>
    </w:p>
    <w:p>
      <w:pPr>
        <w:ind w:left="740" w:hanging="340"/>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0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entitled “Shutterstock Reports Second Quarter 2023 Financial Results” dated August 1, 2023</w:t>
      </w:r>
    </w:p>
    <w:p>
      <w:pPr>
        <w:spacing w:after="0" w:line="109"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1150620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2"/>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201"/>
        </w:trPr>
        <w:tc>
          <w:tcPr>
            <w:tcW w:w="1280" w:type="dxa"/>
            <w:vAlign w:val="bottom"/>
          </w:tcPr>
          <w:p>
            <w:pPr>
              <w:ind w:left="30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gridSpan w:val="2"/>
          </w:tcPr>
          <w:p>
            <w:pPr>
              <w:ind w:left="4080"/>
              <w:spacing w:after="0"/>
              <w:rPr>
                <w:sz w:val="20"/>
                <w:szCs w:val="20"/>
                <w:color w:val="auto"/>
              </w:rPr>
            </w:pPr>
            <w:r>
              <w:rPr>
                <w:rFonts w:ascii="Arial" w:cs="Arial" w:eastAsia="Arial" w:hAnsi="Arial"/>
                <w:sz w:val="14"/>
                <w:szCs w:val="14"/>
                <w:b w:val="1"/>
                <w:bCs w:val="1"/>
                <w:color w:val="auto"/>
              </w:rPr>
              <w:t>Exhibit Description</w:t>
            </w:r>
          </w:p>
        </w:tc>
      </w:tr>
      <w:tr>
        <w:trPr>
          <w:trHeight w:val="24"/>
        </w:trPr>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401"/>
        </w:trPr>
        <w:tc>
          <w:tcPr>
            <w:tcW w:w="1280" w:type="dxa"/>
            <w:vAlign w:val="bottom"/>
          </w:tcPr>
          <w:p>
            <w:pPr>
              <w:jc w:val="right"/>
              <w:ind w:right="398"/>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7"/>
              </w:rPr>
              <w:t>Press release entitled “Shutterstock Reports Second Quarter 2023 Financial Results” dated August 1, 2023</w:t>
            </w:r>
          </w:p>
        </w:tc>
        <w:tc>
          <w:tcPr>
            <w:tcW w:w="1920" w:type="dxa"/>
            <w:vAlign w:val="bottom"/>
          </w:tcPr>
          <w:p>
            <w:pPr>
              <w:spacing w:after="0"/>
              <w:rPr>
                <w:sz w:val="24"/>
                <w:szCs w:val="24"/>
                <w:color w:val="auto"/>
              </w:rPr>
            </w:pPr>
          </w:p>
        </w:tc>
      </w:tr>
      <w:tr>
        <w:trPr>
          <w:trHeight w:val="295"/>
        </w:trPr>
        <w:tc>
          <w:tcPr>
            <w:tcW w:w="1280" w:type="dxa"/>
            <w:vAlign w:val="bottom"/>
          </w:tcPr>
          <w:p>
            <w:pPr>
              <w:jc w:val="right"/>
              <w:ind w:right="418"/>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130810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00"/>
          </w:cols>
          <w:pgMar w:left="540" w:top="1384"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1" w:lineRule="exact"/>
        <w:rPr>
          <w:sz w:val="20"/>
          <w:szCs w:val="20"/>
          <w:color w:val="auto"/>
        </w:rPr>
      </w:pPr>
    </w:p>
    <w:p>
      <w:pPr>
        <w:ind w:right="800" w:firstLine="439"/>
        <w:spacing w:after="0" w:line="24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120" w:type="dxa"/>
            <w:vAlign w:val="bottom"/>
          </w:tcPr>
          <w:p>
            <w:pPr>
              <w:spacing w:after="0"/>
              <w:rPr>
                <w:sz w:val="19"/>
                <w:szCs w:val="19"/>
                <w:color w:val="auto"/>
              </w:rPr>
            </w:pPr>
          </w:p>
        </w:tc>
        <w:tc>
          <w:tcPr>
            <w:tcW w:w="8100" w:type="dxa"/>
            <w:vAlign w:val="bottom"/>
            <w:gridSpan w:val="2"/>
          </w:tcPr>
          <w:p>
            <w:pPr>
              <w:ind w:left="1520"/>
              <w:spacing w:after="0"/>
              <w:rPr>
                <w:sz w:val="20"/>
                <w:szCs w:val="20"/>
                <w:color w:val="auto"/>
              </w:rPr>
            </w:pPr>
            <w:r>
              <w:rPr>
                <w:rFonts w:ascii="Arial" w:cs="Arial" w:eastAsia="Arial" w:hAnsi="Arial"/>
                <w:sz w:val="18"/>
                <w:szCs w:val="18"/>
                <w:b w:val="1"/>
                <w:bCs w:val="1"/>
                <w:color w:val="auto"/>
              </w:rPr>
              <w:t>SHUTTERSTOCK, INC.</w:t>
            </w:r>
          </w:p>
        </w:tc>
      </w:tr>
      <w:tr>
        <w:trPr>
          <w:trHeight w:val="408"/>
        </w:trPr>
        <w:tc>
          <w:tcPr>
            <w:tcW w:w="3120" w:type="dxa"/>
            <w:vAlign w:val="bottom"/>
          </w:tcPr>
          <w:p>
            <w:pPr>
              <w:spacing w:after="0"/>
              <w:rPr>
                <w:sz w:val="20"/>
                <w:szCs w:val="20"/>
                <w:color w:val="auto"/>
              </w:rPr>
            </w:pPr>
            <w:r>
              <w:rPr>
                <w:rFonts w:ascii="Arial" w:cs="Arial" w:eastAsia="Arial" w:hAnsi="Arial"/>
                <w:sz w:val="18"/>
                <w:szCs w:val="18"/>
                <w:color w:val="auto"/>
              </w:rPr>
              <w:t>Dated: August 1, 2023</w:t>
            </w:r>
          </w:p>
        </w:tc>
        <w:tc>
          <w:tcPr>
            <w:tcW w:w="2120" w:type="dxa"/>
            <w:vAlign w:val="bottom"/>
          </w:tcPr>
          <w:p>
            <w:pPr>
              <w:ind w:left="1520"/>
              <w:spacing w:after="0"/>
              <w:rPr>
                <w:sz w:val="20"/>
                <w:szCs w:val="20"/>
                <w:color w:val="auto"/>
              </w:rPr>
            </w:pPr>
            <w:r>
              <w:rPr>
                <w:rFonts w:ascii="Arial" w:cs="Arial" w:eastAsia="Arial" w:hAnsi="Arial"/>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Jarrod Yahes</w:t>
            </w:r>
          </w:p>
        </w:tc>
      </w:tr>
      <w:tr>
        <w:trPr>
          <w:trHeight w:val="217"/>
        </w:trPr>
        <w:tc>
          <w:tcPr>
            <w:tcW w:w="3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Jarrod Yahes</w:t>
            </w:r>
          </w:p>
        </w:tc>
      </w:tr>
      <w:tr>
        <w:trPr>
          <w:trHeight w:val="224"/>
        </w:trPr>
        <w:tc>
          <w:tcPr>
            <w:tcW w:w="3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8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80645</wp:posOffset>
            </wp:positionV>
            <wp:extent cx="342582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5825"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Reports Second Quarter 2023 Financial Results</w:t>
      </w:r>
    </w:p>
    <w:p>
      <w:pPr>
        <w:spacing w:after="0" w:line="10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color w:val="auto"/>
        </w:rPr>
        <w:t xml:space="preserve">New York, NY - August 1, 2023 - </w:t>
      </w:r>
      <w:r>
        <w:rPr>
          <w:rFonts w:ascii="Arial" w:cs="Arial" w:eastAsia="Arial" w:hAnsi="Arial"/>
          <w:sz w:val="18"/>
          <w:szCs w:val="18"/>
          <w:color w:val="auto"/>
        </w:rPr>
        <w:t>Shutterstock, Inc. (NYSE: SSTK) (the “Company”), a premier partner for transformative brands, digital media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companies, today announced financial results for the second quarter ended June 30, 2023.</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Commenting on the Company’s performance, Paul Hennessy, the Company’s Chief Executive Officer, said, “I’m pleased to report that, as reflected in our second quarter results and our revised full year outlook, Shutterstock is not only adapting but that it is thriving in this dynamic environment. We recently signed a strategic multi-year content and data partnership with Google, we acquired GIPHY to lead the way in moment marketing and conversational content, and we are embracing a culture of rapid &amp; iterative experimentation when it comes to optimizing our content business. At the same time, having achieved record revenue and adjusted EBITDA on a year-to-date basis, I’m pleased to report that we are increasing our guidance on top and bottom line for the full year 2023.”</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2023 highlights as compared to Second Quarter 2022:</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1% to $208.8 million.</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from operations decreased 66% to $8.7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increased 157% to $50.0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increased 23% to $60.1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per diluted share increased $0.84 to $1.37.</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 per diluted share increased $0.24 to $1.07.</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cash flows decreased $7.0 million to $29.8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increased $11.8 million to $33.4 million.</w:t>
      </w:r>
    </w:p>
    <w:p>
      <w:pPr>
        <w:spacing w:after="0" w:line="33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Key Operating Metrics</w:t>
      </w:r>
    </w:p>
    <w:p>
      <w:pPr>
        <w:spacing w:after="0" w:line="109" w:lineRule="exact"/>
        <w:rPr>
          <w:sz w:val="20"/>
          <w:szCs w:val="20"/>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Subscribers increased to 556,000.</w:t>
      </w:r>
    </w:p>
    <w:p>
      <w:pPr>
        <w:spacing w:after="0" w:line="15"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Subscriber revenue increased to $87.4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revenue per customer increased to $374.</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Paid downloads decreased to 38.5 million.</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download increased to $4.71.</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Image collection expanded to 734 million images.</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Footage collection expanded to 50 million clips.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Second quarter revenue of $208.8 million increased $2.0 million or 1% as compared to the second quarter of 2022. Revenue generated through our E-commerce sales channel decreased 12% as compared to the second quarter of 2022, to $111.9 million, and represented 54% of total revenue in the second quarter of 2023. The decline in E-commerce revenue was primarily driven by continued weakness in new customer acquisition. Revenue from our Enterprise sales channel increased 22% as compared to the second quarter of 2022, to $96.9 million, and represented 46% of second quarter revenue in 2023. The increase in Enterprise revenues was primarily driven by growth in our computer vision data partnerships which generated $17.3 million during the second quarter, compared to $2.2 million in the second quarter of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fluctuations did not have a significant impact on second quarter 2023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384" w:right="339" w:bottom="1440" w:gutter="0" w:footer="0" w:header="0"/>
        </w:sectPr>
      </w:pPr>
    </w:p>
    <w:bookmarkStart w:id="5" w:name="page6"/>
    <w:bookmarkEnd w:id="5"/>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net income per diluted share</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income of $50.0 million increased $30.6 million as compared to $19.4 million for the second quarter in 2022. Net income per diluted share was $1.37, as compared to $0.53 for the same period in 2022.</w:t>
      </w:r>
    </w:p>
    <w:p>
      <w:pPr>
        <w:spacing w:after="0" w:line="1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$25.9 million of the increase in second quarter 2023 net income, or $0.71 per diluted share, is related to the acquisition of Giphy, Inc. (“Giphy”), which was completed on June 23, 2023. Giphy’s divestiture was a result of a UK Competition and Markets Authority’s (the “CMA”) regulatory order, and concurrently with the closing of the transaction, the Company and the seller entered into a transitional services agreement pursuant to which the seller is responsible for certain costs related to the retention of Giphy employees (the “Giphy Retention Compensation”). The acquisition resulted in the recognition of a $41.9 million non-taxable bargain purchase gain. In addition, we also incurred $13.2 million of non-recurring, cash neutral, compensation expenses, net of tax, resulting from payments made to the Giphy workforce during the period and acquisition-related transaction costs of $2.8 million, net of tax.</w:t>
      </w:r>
    </w:p>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Second quarter 2023 net income was also favorably impacted by the quarter’s revenue growth combined with a decline in operating expenses, excluding the impact from the above-mentioned bargain purchase gain, Giphy Retention Compensation and transaction costs.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per diluted share was $1.07 as compared to $0.83 for the second quarter of 2022, an increase of $0.24 per diluted share.</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EBITDA of $60.1 million for the second quarter of 2023 increased by $11.1 million, or 23%, as compared to the second quarter of 2022, due primarily to modest revenue growth combined with lower expenses from prudent cost management. The adjusted EBITDA margin of 28.8% for second quarter of 2023 increased by 511 basis points, as compared to 23.7% in the second quarter of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LIQUIDITY</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cash and cash equivalents decreased by $8.7 million to $87.1 million at June 30, 2023, as compared with $95.8 million as of March 31, 2023. This decrease was driven by $50.2 million used in investing activities, partially offset by $29.8 million of net cash provided by our operating activities and $12.7 million provided by financing activities.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our operating activities was driven by our operating income, in addition to changes in the timing of cash collections from our customers and payments pertaining to operating expenses. Operating cash flows were unfavorably impacted by recurring and non-recurring payments made to the Giphy workforce, the reimbursement of which is reflected in Investing Activities.</w:t>
      </w:r>
    </w:p>
    <w:p>
      <w:pPr>
        <w:spacing w:after="0" w:line="8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Cash used in investing activities primarily consists of $53.7 million related to the acquisition of Giphy and $12.2 million related to capital expenditures and content acquisition, partially offset by $15.8 million related to the receipt of the Giphy Retention Compensation, as reimbursed by the Giphy seller.</w:t>
      </w:r>
    </w:p>
    <w:p>
      <w:pPr>
        <w:spacing w:after="0" w:line="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provided by financing activities primarily consists of a $30.0 million drawdown from our Credit Facility, partially offset by $9.7 million related to the payment of the quarterly cash dividend, $4.0 million paid for the repurchase of common stock under our share repurchase program and $3.5 million paid in settlement of tax withholding obligations related to employee stock-based compensation awards.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Free cash flow was $33.4 million for the second quarter of 2023, an increase of $11.8 million from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QUARTERLY CASH DIVIDEND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2023, the Company declared and paid a cash dividend of $0.27 per common share or $9.7 million.</w:t>
      </w:r>
    </w:p>
    <w:p>
      <w:pPr>
        <w:spacing w:after="0" w:line="10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On July 17, 2023, the Board of Directors declared a dividend of $0.27 per share of outstanding common stock, payable on September 14, 2023 to stockholders of record at the close of business on August 31, 2023.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6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2"/>
                <w:szCs w:val="12"/>
                <w:b w:val="1"/>
                <w:bCs w:val="1"/>
                <w:color w:val="auto"/>
              </w:rPr>
              <w:t>Three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Six Months Ended June 30,</w:t>
            </w:r>
          </w:p>
        </w:tc>
        <w:tc>
          <w:tcPr>
            <w:tcW w:w="900" w:type="dxa"/>
            <w:vAlign w:val="bottom"/>
            <w:tcBorders>
              <w:bottom w:val="single" w:sz="8" w:color="auto"/>
            </w:tcBorders>
          </w:tcPr>
          <w:p>
            <w:pPr>
              <w:spacing w:after="0"/>
              <w:rPr>
                <w:sz w:val="14"/>
                <w:szCs w:val="14"/>
                <w:color w:val="auto"/>
              </w:rPr>
            </w:pPr>
          </w:p>
        </w:tc>
      </w:tr>
      <w:tr>
        <w:trPr>
          <w:trHeight w:val="159"/>
        </w:trPr>
        <w:tc>
          <w:tcPr>
            <w:tcW w:w="47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6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ind w:right="645"/>
              <w:spacing w:after="0"/>
              <w:rPr>
                <w:sz w:val="20"/>
                <w:szCs w:val="20"/>
                <w:color w:val="auto"/>
              </w:rPr>
            </w:pPr>
            <w:r>
              <w:rPr>
                <w:rFonts w:ascii="Arial" w:cs="Arial" w:eastAsia="Arial" w:hAnsi="Arial"/>
                <w:sz w:val="12"/>
                <w:szCs w:val="12"/>
                <w:b w:val="1"/>
                <w:bCs w:val="1"/>
                <w:color w:val="auto"/>
              </w:rPr>
              <w:t>2023</w:t>
            </w:r>
          </w:p>
        </w:tc>
        <w:tc>
          <w:tcPr>
            <w:tcW w:w="720" w:type="dxa"/>
            <w:vAlign w:val="bottom"/>
          </w:tcPr>
          <w:p>
            <w:pPr>
              <w:spacing w:after="0"/>
              <w:rPr>
                <w:sz w:val="13"/>
                <w:szCs w:val="13"/>
                <w:color w:val="auto"/>
              </w:rPr>
            </w:pPr>
          </w:p>
        </w:tc>
        <w:tc>
          <w:tcPr>
            <w:tcW w:w="900" w:type="dxa"/>
            <w:vAlign w:val="bottom"/>
          </w:tcPr>
          <w:p>
            <w:pPr>
              <w:jc w:val="right"/>
              <w:ind w:right="583"/>
              <w:spacing w:after="0"/>
              <w:rPr>
                <w:sz w:val="20"/>
                <w:szCs w:val="20"/>
                <w:color w:val="auto"/>
              </w:rPr>
            </w:pPr>
            <w:r>
              <w:rPr>
                <w:rFonts w:ascii="Arial" w:cs="Arial" w:eastAsia="Arial" w:hAnsi="Arial"/>
                <w:sz w:val="12"/>
                <w:szCs w:val="12"/>
                <w:b w:val="1"/>
                <w:bCs w:val="1"/>
                <w:color w:val="auto"/>
                <w:w w:val="82"/>
              </w:rPr>
              <w:t>2022</w:t>
            </w:r>
          </w:p>
        </w:tc>
      </w:tr>
      <w:tr>
        <w:trPr>
          <w:trHeight w:val="25"/>
        </w:trPr>
        <w:tc>
          <w:tcPr>
            <w:tcW w:w="4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46"/>
        </w:trPr>
        <w:tc>
          <w:tcPr>
            <w:tcW w:w="4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1"/>
        </w:trPr>
        <w:tc>
          <w:tcPr>
            <w:tcW w:w="47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Subscribers (end of period)</w:t>
            </w:r>
            <w:r>
              <w:rPr>
                <w:rFonts w:ascii="Arial" w:cs="Arial" w:eastAsia="Arial" w:hAnsi="Arial"/>
                <w:sz w:val="20"/>
                <w:szCs w:val="20"/>
                <w:color w:val="auto"/>
                <w:vertAlign w:val="superscript"/>
              </w:rPr>
              <w:t>(1)</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6"/>
              </w:rPr>
              <w:t>556,000</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368,000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556,000</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368,000</w:t>
            </w:r>
          </w:p>
        </w:tc>
      </w:tr>
      <w:tr>
        <w:trPr>
          <w:trHeight w:val="211"/>
        </w:trPr>
        <w:tc>
          <w:tcPr>
            <w:tcW w:w="4760" w:type="dxa"/>
            <w:vAlign w:val="bottom"/>
          </w:tcPr>
          <w:p>
            <w:pPr>
              <w:ind w:left="20"/>
              <w:spacing w:after="0" w:line="210" w:lineRule="exact"/>
              <w:rPr>
                <w:sz w:val="20"/>
                <w:szCs w:val="20"/>
                <w:color w:val="auto"/>
              </w:rPr>
            </w:pPr>
            <w:r>
              <w:rPr>
                <w:rFonts w:ascii="Arial" w:cs="Arial" w:eastAsia="Arial" w:hAnsi="Arial"/>
                <w:sz w:val="16"/>
                <w:szCs w:val="16"/>
                <w:color w:val="auto"/>
              </w:rPr>
              <w:t>Subscriber revenue (in millions)</w:t>
            </w:r>
            <w:r>
              <w:rPr>
                <w:rFonts w:ascii="Arial" w:cs="Arial" w:eastAsia="Arial" w:hAnsi="Arial"/>
                <w:sz w:val="20"/>
                <w:szCs w:val="20"/>
                <w:color w:val="auto"/>
                <w:vertAlign w:val="superscript"/>
              </w:rPr>
              <w:t>(2)</w:t>
            </w:r>
          </w:p>
        </w:tc>
        <w:tc>
          <w:tcPr>
            <w:tcW w:w="900" w:type="dxa"/>
            <w:vAlign w:val="bottom"/>
          </w:tcPr>
          <w:p>
            <w:pPr>
              <w:jc w:val="right"/>
              <w:ind w:right="72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87.4</w:t>
            </w:r>
          </w:p>
        </w:tc>
        <w:tc>
          <w:tcPr>
            <w:tcW w:w="980" w:type="dxa"/>
            <w:vAlign w:val="bottom"/>
          </w:tcPr>
          <w:p>
            <w:pPr>
              <w:jc w:val="right"/>
              <w:ind w:right="72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84.7</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178.0</w:t>
            </w:r>
          </w:p>
        </w:tc>
        <w:tc>
          <w:tcPr>
            <w:tcW w:w="720" w:type="dxa"/>
            <w:vAlign w:val="bottom"/>
          </w:tcPr>
          <w:p>
            <w:pPr>
              <w:jc w:val="right"/>
              <w:ind w:right="4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92"/>
        </w:trPr>
        <w:tc>
          <w:tcPr>
            <w:tcW w:w="47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r>
      <w:tr>
        <w:trPr>
          <w:trHeight w:val="211"/>
        </w:trPr>
        <w:tc>
          <w:tcPr>
            <w:tcW w:w="4760" w:type="dxa"/>
            <w:vAlign w:val="bottom"/>
          </w:tcPr>
          <w:p>
            <w:pPr>
              <w:ind w:left="20"/>
              <w:spacing w:after="0" w:line="210" w:lineRule="exact"/>
              <w:rPr>
                <w:sz w:val="20"/>
                <w:szCs w:val="20"/>
                <w:color w:val="auto"/>
              </w:rPr>
            </w:pPr>
            <w:r>
              <w:rPr>
                <w:rFonts w:ascii="Arial" w:cs="Arial" w:eastAsia="Arial" w:hAnsi="Arial"/>
                <w:sz w:val="16"/>
                <w:szCs w:val="16"/>
                <w:color w:val="auto"/>
              </w:rPr>
              <w:t>Average revenue per customer (last twelve months)</w:t>
            </w:r>
            <w:r>
              <w:rPr>
                <w:rFonts w:ascii="Arial" w:cs="Arial" w:eastAsia="Arial" w:hAnsi="Arial"/>
                <w:sz w:val="20"/>
                <w:szCs w:val="20"/>
                <w:color w:val="auto"/>
                <w:vertAlign w:val="superscript"/>
              </w:rPr>
              <w:t>(3)</w:t>
            </w:r>
          </w:p>
        </w:tc>
        <w:tc>
          <w:tcPr>
            <w:tcW w:w="900" w:type="dxa"/>
            <w:vAlign w:val="bottom"/>
          </w:tcPr>
          <w:p>
            <w:pPr>
              <w:jc w:val="right"/>
              <w:ind w:right="72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374</w:t>
            </w:r>
          </w:p>
        </w:tc>
        <w:tc>
          <w:tcPr>
            <w:tcW w:w="980" w:type="dxa"/>
            <w:vAlign w:val="bottom"/>
          </w:tcPr>
          <w:p>
            <w:pPr>
              <w:jc w:val="right"/>
              <w:ind w:right="72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359</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374</w:t>
            </w:r>
          </w:p>
        </w:tc>
        <w:tc>
          <w:tcPr>
            <w:tcW w:w="720" w:type="dxa"/>
            <w:vAlign w:val="bottom"/>
          </w:tcPr>
          <w:p>
            <w:pPr>
              <w:jc w:val="right"/>
              <w:ind w:right="4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1"/>
        </w:trPr>
        <w:tc>
          <w:tcPr>
            <w:tcW w:w="47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Paid downloads (in millions)</w:t>
            </w:r>
            <w:r>
              <w:rPr>
                <w:rFonts w:ascii="Arial" w:cs="Arial" w:eastAsia="Arial" w:hAnsi="Arial"/>
                <w:sz w:val="20"/>
                <w:szCs w:val="20"/>
                <w:color w:val="auto"/>
                <w:vertAlign w:val="superscript"/>
              </w:rPr>
              <w:t>(4)</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38.5</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81.2</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211"/>
        </w:trPr>
        <w:tc>
          <w:tcPr>
            <w:tcW w:w="4760" w:type="dxa"/>
            <w:vAlign w:val="bottom"/>
          </w:tcPr>
          <w:p>
            <w:pPr>
              <w:ind w:left="20"/>
              <w:spacing w:after="0" w:line="210" w:lineRule="exact"/>
              <w:rPr>
                <w:sz w:val="20"/>
                <w:szCs w:val="20"/>
                <w:color w:val="auto"/>
              </w:rPr>
            </w:pPr>
            <w:r>
              <w:rPr>
                <w:rFonts w:ascii="Arial" w:cs="Arial" w:eastAsia="Arial" w:hAnsi="Arial"/>
                <w:sz w:val="16"/>
                <w:szCs w:val="16"/>
                <w:color w:val="auto"/>
              </w:rPr>
              <w:t>Revenue per download</w:t>
            </w:r>
            <w:r>
              <w:rPr>
                <w:rFonts w:ascii="Arial" w:cs="Arial" w:eastAsia="Arial" w:hAnsi="Arial"/>
                <w:sz w:val="20"/>
                <w:szCs w:val="20"/>
                <w:color w:val="auto"/>
                <w:vertAlign w:val="superscript"/>
              </w:rPr>
              <w:t>(5)</w:t>
            </w:r>
          </w:p>
        </w:tc>
        <w:tc>
          <w:tcPr>
            <w:tcW w:w="900" w:type="dxa"/>
            <w:vAlign w:val="bottom"/>
          </w:tcPr>
          <w:p>
            <w:pPr>
              <w:jc w:val="right"/>
              <w:ind w:right="72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4.71</w:t>
            </w:r>
          </w:p>
        </w:tc>
        <w:tc>
          <w:tcPr>
            <w:tcW w:w="980" w:type="dxa"/>
            <w:vAlign w:val="bottom"/>
          </w:tcPr>
          <w:p>
            <w:pPr>
              <w:jc w:val="right"/>
              <w:ind w:right="725"/>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4.46</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4.56</w:t>
            </w:r>
          </w:p>
        </w:tc>
        <w:tc>
          <w:tcPr>
            <w:tcW w:w="720" w:type="dxa"/>
            <w:vAlign w:val="bottom"/>
          </w:tcPr>
          <w:p>
            <w:pPr>
              <w:jc w:val="right"/>
              <w:ind w:right="4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1"/>
        </w:trPr>
        <w:tc>
          <w:tcPr>
            <w:tcW w:w="47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Content in our collection (end of period, in millions)</w:t>
            </w:r>
            <w:r>
              <w:rPr>
                <w:rFonts w:ascii="Arial" w:cs="Arial" w:eastAsia="Arial" w:hAnsi="Arial"/>
                <w:sz w:val="20"/>
                <w:szCs w:val="20"/>
                <w:color w:val="auto"/>
                <w:vertAlign w:val="superscript"/>
              </w:rPr>
              <w:t>(6)</w:t>
            </w:r>
            <w:r>
              <w:rPr>
                <w:rFonts w:ascii="Arial" w:cs="Arial" w:eastAsia="Arial" w:hAnsi="Arial"/>
                <w:sz w:val="16"/>
                <w:szCs w:val="16"/>
                <w:color w:val="auto"/>
              </w:rPr>
              <w:t>:</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7"/>
        </w:trPr>
        <w:tc>
          <w:tcPr>
            <w:tcW w:w="4760" w:type="dxa"/>
            <w:vAlign w:val="bottom"/>
          </w:tcPr>
          <w:p>
            <w:pPr>
              <w:ind w:left="140"/>
              <w:spacing w:after="0"/>
              <w:rPr>
                <w:sz w:val="20"/>
                <w:szCs w:val="20"/>
                <w:color w:val="auto"/>
              </w:rPr>
            </w:pPr>
            <w:r>
              <w:rPr>
                <w:rFonts w:ascii="Arial" w:cs="Arial" w:eastAsia="Arial" w:hAnsi="Arial"/>
                <w:sz w:val="16"/>
                <w:szCs w:val="16"/>
                <w:color w:val="auto"/>
              </w:rPr>
              <w:t>Images</w:t>
            </w:r>
          </w:p>
        </w:tc>
        <w:tc>
          <w:tcPr>
            <w:tcW w:w="900" w:type="dxa"/>
            <w:vAlign w:val="bottom"/>
          </w:tcPr>
          <w:p>
            <w:pPr>
              <w:spacing w:after="0"/>
              <w:rPr>
                <w:sz w:val="18"/>
                <w:szCs w:val="18"/>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734</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734</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4"/>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Footage clips</w:t>
            </w: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50</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w:t>
      </w:r>
    </w:p>
    <w:p>
      <w:pPr>
        <w:spacing w:after="0" w:line="40" w:lineRule="exact"/>
        <w:rPr>
          <w:sz w:val="20"/>
          <w:szCs w:val="20"/>
          <w:color w:val="auto"/>
        </w:rPr>
      </w:pPr>
    </w:p>
    <w:p>
      <w:pPr>
        <w:ind w:right="200"/>
        <w:spacing w:after="0" w:line="278" w:lineRule="auto"/>
        <w:rPr>
          <w:sz w:val="20"/>
          <w:szCs w:val="20"/>
          <w:color w:val="auto"/>
        </w:rPr>
      </w:pPr>
      <w:r>
        <w:rPr>
          <w:rFonts w:ascii="Arial" w:cs="Arial" w:eastAsia="Arial" w:hAnsi="Arial"/>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73"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Arial" w:cs="Arial" w:eastAsia="Arial" w:hAnsi="Arial"/>
          <w:sz w:val="12"/>
          <w:szCs w:val="12"/>
          <w:color w:val="auto"/>
        </w:rPr>
      </w:pPr>
    </w:p>
    <w:p>
      <w:pPr>
        <w:ind w:left="180" w:hanging="175"/>
        <w:spacing w:after="0"/>
        <w:tabs>
          <w:tab w:leader="none" w:pos="1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Subscriber revenue is defined as the revenue generated from subscribers during the period.</w:t>
      </w:r>
    </w:p>
    <w:p>
      <w:pPr>
        <w:spacing w:after="0" w:line="112" w:lineRule="exact"/>
        <w:rPr>
          <w:rFonts w:ascii="Arial" w:cs="Arial" w:eastAsia="Arial" w:hAnsi="Arial"/>
          <w:sz w:val="12"/>
          <w:szCs w:val="12"/>
          <w:color w:val="auto"/>
        </w:rPr>
      </w:pPr>
    </w:p>
    <w:p>
      <w:pPr>
        <w:ind w:right="20" w:firstLine="5"/>
        <w:spacing w:after="0" w:line="304" w:lineRule="auto"/>
        <w:tabs>
          <w:tab w:leader="none" w:pos="167" w:val="left"/>
        </w:tabs>
        <w:numPr>
          <w:ilvl w:val="0"/>
          <w:numId w:val="7"/>
        </w:numPr>
        <w:rPr>
          <w:rFonts w:ascii="Arial" w:cs="Arial" w:eastAsia="Arial" w:hAnsi="Arial"/>
          <w:sz w:val="12"/>
          <w:szCs w:val="12"/>
          <w:color w:val="auto"/>
        </w:rPr>
      </w:pPr>
      <w:r>
        <w:rPr>
          <w:rFonts w:ascii="Arial" w:cs="Arial" w:eastAsia="Arial" w:hAnsi="Arial"/>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58" w:lineRule="exact"/>
        <w:rPr>
          <w:rFonts w:ascii="Arial" w:cs="Arial" w:eastAsia="Arial" w:hAnsi="Arial"/>
          <w:sz w:val="12"/>
          <w:szCs w:val="12"/>
          <w:color w:val="auto"/>
        </w:rPr>
      </w:pPr>
    </w:p>
    <w:p>
      <w:pPr>
        <w:ind w:right="20" w:firstLine="5"/>
        <w:spacing w:after="0" w:line="282" w:lineRule="auto"/>
        <w:tabs>
          <w:tab w:leader="none" w:pos="174" w:val="left"/>
        </w:tabs>
        <w:numPr>
          <w:ilvl w:val="0"/>
          <w:numId w:val="7"/>
        </w:numPr>
        <w:rPr>
          <w:rFonts w:ascii="Arial" w:cs="Arial" w:eastAsia="Arial" w:hAnsi="Arial"/>
          <w:sz w:val="12"/>
          <w:szCs w:val="12"/>
          <w:color w:val="auto"/>
        </w:rPr>
      </w:pPr>
      <w:r>
        <w:rPr>
          <w:rFonts w:ascii="Arial" w:cs="Arial" w:eastAsia="Arial" w:hAnsi="Arial"/>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w:t>
      </w:r>
    </w:p>
    <w:p>
      <w:pPr>
        <w:spacing w:after="0" w:line="70" w:lineRule="exact"/>
        <w:rPr>
          <w:rFonts w:ascii="Arial" w:cs="Arial" w:eastAsia="Arial" w:hAnsi="Arial"/>
          <w:sz w:val="12"/>
          <w:szCs w:val="12"/>
          <w:color w:val="auto"/>
        </w:rPr>
      </w:pPr>
    </w:p>
    <w:p>
      <w:pPr>
        <w:ind w:right="480" w:firstLine="5"/>
        <w:spacing w:after="0" w:line="282" w:lineRule="auto"/>
        <w:tabs>
          <w:tab w:leader="none" w:pos="174" w:val="left"/>
        </w:tabs>
        <w:numPr>
          <w:ilvl w:val="0"/>
          <w:numId w:val="7"/>
        </w:numPr>
        <w:rPr>
          <w:rFonts w:ascii="Arial" w:cs="Arial" w:eastAsia="Arial" w:hAnsi="Arial"/>
          <w:sz w:val="12"/>
          <w:szCs w:val="12"/>
          <w:color w:val="auto"/>
        </w:rPr>
      </w:pPr>
      <w:r>
        <w:rPr>
          <w:rFonts w:ascii="Arial" w:cs="Arial" w:eastAsia="Arial" w:hAnsi="Arial"/>
          <w:sz w:val="12"/>
          <w:szCs w:val="12"/>
          <w:color w:val="auto"/>
        </w:rPr>
        <w:t>Revenue per download is the amount of revenue recognized in a given period divided by the number of paid downloads in that period excluding revenue from our Studios business, revenue that is not derived from or associated with content licenses and revenue associated with our computer vision offering.</w:t>
      </w:r>
    </w:p>
    <w:p>
      <w:pPr>
        <w:spacing w:after="0" w:line="70" w:lineRule="exact"/>
        <w:rPr>
          <w:rFonts w:ascii="Arial" w:cs="Arial" w:eastAsia="Arial" w:hAnsi="Arial"/>
          <w:sz w:val="12"/>
          <w:szCs w:val="12"/>
          <w:color w:val="auto"/>
        </w:rPr>
      </w:pPr>
    </w:p>
    <w:p>
      <w:pPr>
        <w:jc w:val="both"/>
        <w:ind w:right="20" w:firstLine="5"/>
        <w:spacing w:after="0" w:line="278" w:lineRule="auto"/>
        <w:tabs>
          <w:tab w:leader="none" w:pos="174"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increased its guidance for the full year 2023, to the following:</w:t>
      </w:r>
    </w:p>
    <w:p>
      <w:pPr>
        <w:spacing w:after="0" w:line="214" w:lineRule="exact"/>
        <w:rPr>
          <w:sz w:val="20"/>
          <w:szCs w:val="20"/>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of $852 million to $869 million, representing annual growth of 3% to 5%.</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of between $227 million to $235 million.</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net income per diluted share of between $4.00 to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8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FINANCIAL MEASURES</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free cash flow.</w:t>
      </w:r>
    </w:p>
    <w:p>
      <w:pPr>
        <w:spacing w:after="0" w:line="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Shutterstock defines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interest income and expense and income taxes; adjusted EBITDA margin as the ratio of adjusted EBITDA to revenue; adjusted net income as net income adjusted for the impact of non-cash equity-based compensation, amortization of acquisition-related intangible assets, bargain purchase gain related to the acquisition of Giphy, Giphy Retention Compensation Expense - non-recurring, severance costs associated with strategic workforce optimizations and the estimated tax impact of such adjustments; adjusted net income per diluted share as adjusted net income divided by weighted average diluted shares;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free cash flow as cash provided by operating activities, adjusted for capital expenditures, content acquisition and cash received related to Giphy Retention Compensation in connection with the acquisition of Giphy.</w:t>
      </w:r>
    </w:p>
    <w:p>
      <w:pPr>
        <w:spacing w:after="0" w:line="6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an ongoing expense necessary to operate the Company’s business. Therefore, such expenses have been included in the below adjustments for calculating adjusted EBITDA, adjusted EBITDA margin, adjusted net income and adjusted net income per diluted common share. For the three months ended June 30, 2023, the Company also incurred $0.5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6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Shutterstock’s management believes that adjusted EBITDA, adjusted EBITDA margin, adjusted net income, adjusted net income per diluted share, revenue growth (including by distribution channel) on a constant currency basis (expressed as a percentage), billings and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1384" w:right="339" w:bottom="1440" w:gutter="0" w:footer="0" w:header="0"/>
        </w:sectPr>
      </w:pPr>
    </w:p>
    <w:bookmarkStart w:id="8" w:name="page9"/>
    <w:bookmarkEnd w:id="8"/>
    <w:p>
      <w:pPr>
        <w:jc w:val="both"/>
        <w:spacing w:after="0" w:line="280" w:lineRule="auto"/>
        <w:rPr>
          <w:sz w:val="20"/>
          <w:szCs w:val="20"/>
          <w:color w:val="auto"/>
        </w:rPr>
      </w:pPr>
      <w:r>
        <w:rPr>
          <w:rFonts w:ascii="Arial" w:cs="Arial" w:eastAsia="Arial" w:hAnsi="Arial"/>
          <w:sz w:val="16"/>
          <w:szCs w:val="16"/>
          <w:color w:val="auto"/>
        </w:rPr>
        <w:t>Shutterstock’s management also uses the non-GAAP financial measures adjusted EBITDA, adjusted EBITDA margin, adjusted net income, adjusted net income per diluted share, revenue growth (including by distribution channel) on a constant currency basis (expressed as a percentage), billings and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Reconciliations of the differences between adjusted EBITDA, adjusted EBITDA margin, adjusted net income, adjusted net income per diluted share, revenue growth (including by distribution channel) on a constant currency basis (expressed as a percentage), billings, free cash flow, and the most comparable financial measures calculated and presented in accordance with GAAP, are presented under the headings “Reconciliation of Non-GAAP Financial Information to GAAP” and “Supplemental Financial Data” immediately following the Consolidated Balance Sheets.</w:t>
      </w:r>
    </w:p>
    <w:p>
      <w:pPr>
        <w:spacing w:after="0" w:line="3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do not provide a reconciliation of adjusted EBITDA guidance to net income guidance or a reconciliation of adjusted net income per diluted share guidance to net income per diluted share guidance, because we are unable to calculate with reasonable certainty the impact of potential future transactions, including, but not limited to, capital structure transactions, restructuring, acquisitions, divestitures or other events and asset impairments, without unreasonable effort. These amounts depend on various factors and could have a material impact on net income and net income per diluted share, but may be excluded from adjusted EBITDA and adjusted net income per diluted share. In addition, we believe such reconciliations would imply a degree of precision that would be confusing or misleading to investors. For the same reasons, the Company is unable to address the probable significance of the unavailable information.</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TELECONFERENCE INFORMATION</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will discuss its second quarter and full year financial results during a teleconference today, August 1, 2023, at 8:30 AM Eastern Time. The conference call is being webcast live at the Company's website at http://investor.shutterstock.com/. The webcast is listen-only. Those interested in participating in the question-and-answer session should register using the link below.</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Participants may register for the call here (https://edge.media-server.com/mmc/p/mwjpiz7e). It is recommended that you join 10 minutes prior to the event start (although you may register and join at any time during the call).</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 webcast replay of the call will be available on the Company's website beginning on August 1, 2023 at approximately 10:30 AM Eastern Time.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SHUTTERSTOCK</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Shutterstock, Inc. (NYSE: SSTK) is a premier partner for transformative brands, digital media and marketing companies, empowering the world to create with confidence. Fueled by millions of creators around the world, a growing data engine and a dedication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service—all using the latest in innovative technology—Shutterstock offers the most comprehensive selection of resources to bring storytelling to life.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Learn more at www.shutterstock.com and follow us on LinkedIn, Instagram, Twitter, Facebook and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3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particularly in the discussion under the caption “2023 Guidance.”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risks related to the Giphy, Inc. transaction, such as potential litigation; potential business disruption; the impact of transaction costs; our ability to achieve the benefits of the transaction, including monetization; our ability to effectively integrate the acquired operations into our operations; our ability to retain and hire key target personnel; and the effects of any unknown liabilities; as well as those risks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ectPr>
          <w:pgSz w:w="11900" w:h="16838" w:orient="portrait"/>
          <w:cols w:equalWidth="0" w:num="1">
            <w:col w:w="11240"/>
          </w:cols>
          <w:pgMar w:left="320" w:top="1384" w:right="339" w:bottom="1440" w:gutter="0" w:footer="0" w:header="0"/>
        </w:sect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Investor Relations Contact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Chris Suh</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ir@shutterstock.com</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646-257-4825</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Lori Rodney</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press@shutterstock.com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3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1384"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58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5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208,840</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206,872</w:t>
            </w:r>
          </w:p>
        </w:tc>
        <w:tc>
          <w:tcPr>
            <w:tcW w:w="4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424,120</w:t>
            </w:r>
          </w:p>
        </w:tc>
        <w:tc>
          <w:tcPr>
            <w:tcW w:w="4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406,004</w:t>
            </w:r>
          </w:p>
        </w:tc>
        <w:tc>
          <w:tcPr>
            <w:tcW w:w="0" w:type="dxa"/>
            <w:vAlign w:val="bottom"/>
          </w:tcPr>
          <w:p>
            <w:pPr>
              <w:spacing w:after="0"/>
              <w:rPr>
                <w:sz w:val="1"/>
                <w:szCs w:val="1"/>
                <w:color w:val="auto"/>
              </w:rPr>
            </w:pPr>
          </w:p>
        </w:tc>
      </w:tr>
      <w:tr>
        <w:trPr>
          <w:trHeight w:val="105"/>
        </w:trPr>
        <w:tc>
          <w:tcPr>
            <w:tcW w:w="5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84,416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77,019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162,579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146,470</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54,229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107,558</w:t>
            </w:r>
          </w:p>
        </w:tc>
        <w:tc>
          <w:tcPr>
            <w:tcW w:w="0" w:type="dxa"/>
            <w:vAlign w:val="bottom"/>
          </w:tcPr>
          <w:p>
            <w:pPr>
              <w:spacing w:after="0"/>
              <w:rPr>
                <w:sz w:val="1"/>
                <w:szCs w:val="1"/>
                <w:color w:val="auto"/>
              </w:rPr>
            </w:pP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17,162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44,624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30,788</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33,088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63,896</w:t>
            </w:r>
          </w:p>
        </w:tc>
        <w:tc>
          <w:tcPr>
            <w:tcW w:w="0" w:type="dxa"/>
            <w:vAlign w:val="bottom"/>
          </w:tcPr>
          <w:p>
            <w:pPr>
              <w:spacing w:after="0"/>
              <w:rPr>
                <w:sz w:val="1"/>
                <w:szCs w:val="1"/>
                <w:color w:val="auto"/>
              </w:rPr>
            </w:pPr>
          </w:p>
        </w:tc>
      </w:tr>
      <w:tr>
        <w:trPr>
          <w:trHeight w:val="200"/>
        </w:trPr>
        <w:tc>
          <w:tcPr>
            <w:tcW w:w="52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181,498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375,036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348,712</w:t>
            </w: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25,374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57,292</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Bargain purchase gain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00"/>
        </w:trPr>
        <w:tc>
          <w:tcPr>
            <w:tcW w:w="5220" w:type="dxa"/>
            <w:vAlign w:val="bottom"/>
          </w:tcPr>
          <w:p>
            <w:pPr>
              <w:ind w:left="24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22,713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92,795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55,389</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0" w:type="dxa"/>
            <w:vAlign w:val="bottom"/>
          </w:tcPr>
          <w:p>
            <w:pPr>
              <w:spacing w:after="0"/>
              <w:rPr>
                <w:sz w:val="1"/>
                <w:szCs w:val="1"/>
                <w:color w:val="auto"/>
              </w:rPr>
            </w:pPr>
          </w:p>
        </w:tc>
      </w:tr>
      <w:tr>
        <w:trPr>
          <w:trHeight w:val="177"/>
        </w:trPr>
        <w:tc>
          <w:tcPr>
            <w:tcW w:w="5220" w:type="dxa"/>
            <w:vAlign w:val="bottom"/>
          </w:tcPr>
          <w:p>
            <w:pPr>
              <w:ind w:left="240"/>
              <w:spacing w:after="0" w:line="178" w:lineRule="exact"/>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1"/>
              <w:spacing w:after="0" w:line="178" w:lineRule="exact"/>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line="178" w:lineRule="exact"/>
              <w:rPr>
                <w:sz w:val="20"/>
                <w:szCs w:val="20"/>
                <w:color w:val="auto"/>
              </w:rPr>
            </w:pPr>
            <w:r>
              <w:rPr>
                <w:rFonts w:ascii="Arial" w:cs="Arial" w:eastAsia="Arial" w:hAnsi="Arial"/>
                <w:sz w:val="16"/>
                <w:szCs w:val="16"/>
                <w:color w:val="auto"/>
              </w:rPr>
              <w:t>50,013</w:t>
            </w:r>
          </w:p>
        </w:tc>
        <w:tc>
          <w:tcPr>
            <w:tcW w:w="440" w:type="dxa"/>
            <w:vAlign w:val="bottom"/>
            <w:gridSpan w:val="2"/>
          </w:tcPr>
          <w:p>
            <w:pPr>
              <w:jc w:val="right"/>
              <w:ind w:right="167"/>
              <w:spacing w:after="0" w:line="178"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line="178" w:lineRule="exact"/>
              <w:rPr>
                <w:sz w:val="20"/>
                <w:szCs w:val="20"/>
                <w:color w:val="auto"/>
              </w:rPr>
            </w:pPr>
            <w:r>
              <w:rPr>
                <w:rFonts w:ascii="Arial" w:cs="Arial" w:eastAsia="Arial" w:hAnsi="Arial"/>
                <w:sz w:val="16"/>
                <w:szCs w:val="16"/>
                <w:color w:val="auto"/>
              </w:rPr>
              <w:t>19,445</w:t>
            </w:r>
          </w:p>
        </w:tc>
        <w:tc>
          <w:tcPr>
            <w:tcW w:w="440" w:type="dxa"/>
            <w:vAlign w:val="bottom"/>
            <w:gridSpan w:val="2"/>
          </w:tcPr>
          <w:p>
            <w:pPr>
              <w:jc w:val="right"/>
              <w:ind w:right="161"/>
              <w:spacing w:after="0" w:line="178"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82,856</w:t>
            </w:r>
          </w:p>
        </w:tc>
        <w:tc>
          <w:tcPr>
            <w:tcW w:w="460" w:type="dxa"/>
            <w:vAlign w:val="bottom"/>
            <w:gridSpan w:val="2"/>
          </w:tcPr>
          <w:p>
            <w:pPr>
              <w:jc w:val="right"/>
              <w:ind w:right="161"/>
              <w:spacing w:after="0" w:line="178"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46,017</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20"/>
              <w:spacing w:after="0"/>
              <w:rPr>
                <w:sz w:val="20"/>
                <w:szCs w:val="20"/>
                <w:color w:val="auto"/>
              </w:rPr>
            </w:pPr>
            <w:r>
              <w:rPr>
                <w:rFonts w:ascii="Arial" w:cs="Arial" w:eastAsia="Arial" w:hAnsi="Arial"/>
                <w:sz w:val="16"/>
                <w:szCs w:val="16"/>
                <w:color w:val="auto"/>
              </w:rPr>
              <w:t>Earnings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440" w:type="dxa"/>
            <w:vAlign w:val="bottom"/>
            <w:gridSpan w:val="2"/>
          </w:tcPr>
          <w:p>
            <w:pPr>
              <w:jc w:val="right"/>
              <w:ind w:right="167"/>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0.53</w:t>
            </w:r>
          </w:p>
        </w:tc>
        <w:tc>
          <w:tcPr>
            <w:tcW w:w="4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2.27</w:t>
            </w:r>
          </w:p>
        </w:tc>
        <w:tc>
          <w:tcPr>
            <w:tcW w:w="46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47"/>
        </w:trPr>
        <w:tc>
          <w:tcPr>
            <w:tcW w:w="5220" w:type="dxa"/>
            <w:vAlign w:val="bottom"/>
            <w:tcBorders>
              <w:bottom w:val="single" w:sz="8" w:color="CCEEFF"/>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52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2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36,406</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36,578</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36,890</w:t>
            </w:r>
          </w:p>
        </w:tc>
        <w:tc>
          <w:tcPr>
            <w:tcW w:w="0" w:type="dxa"/>
            <w:vAlign w:val="bottom"/>
          </w:tcPr>
          <w:p>
            <w:pPr>
              <w:spacing w:after="0"/>
              <w:rPr>
                <w:sz w:val="1"/>
                <w:szCs w:val="1"/>
                <w:color w:val="auto"/>
              </w:rPr>
            </w:pPr>
          </w:p>
        </w:tc>
      </w:tr>
      <w:tr>
        <w:trPr>
          <w:trHeight w:val="23"/>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10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32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ind w:right="181"/>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4"/>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115,154</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Accounts receivable, net of allowance of $5,641 and $5,830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61,715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67,249</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124,554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33,268</w:t>
            </w:r>
          </w:p>
        </w:tc>
        <w:tc>
          <w:tcPr>
            <w:tcW w:w="0" w:type="dxa"/>
            <w:vAlign w:val="bottom"/>
          </w:tcPr>
          <w:p>
            <w:pPr>
              <w:spacing w:after="0"/>
              <w:rPr>
                <w:sz w:val="1"/>
                <w:szCs w:val="1"/>
                <w:color w:val="auto"/>
              </w:rPr>
            </w:pPr>
          </w:p>
        </w:tc>
      </w:tr>
      <w:tr>
        <w:trPr>
          <w:trHeight w:val="200"/>
        </w:trPr>
        <w:tc>
          <w:tcPr>
            <w:tcW w:w="7820" w:type="dxa"/>
            <w:vAlign w:val="bottom"/>
          </w:tcPr>
          <w:p>
            <w:pPr>
              <w:ind w:left="54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273,415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215,671</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54,548</w:t>
            </w: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Right-of-use assets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17,593</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Intangibles assets,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173,087</w:t>
            </w: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383,045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381,920</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assets, net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16,533</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67,435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21,832</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1,004,261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112,231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89,387</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Contributor royalties payable</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38,649</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207,483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187,070</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11,445</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383,734</w:t>
            </w: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Deferred tax liability, net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17,255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35,611</w:t>
            </w:r>
          </w:p>
        </w:tc>
        <w:tc>
          <w:tcPr>
            <w:tcW w:w="0" w:type="dxa"/>
            <w:vAlign w:val="bottom"/>
          </w:tcPr>
          <w:p>
            <w:pPr>
              <w:spacing w:after="0"/>
              <w:rPr>
                <w:sz w:val="1"/>
                <w:szCs w:val="1"/>
                <w:color w:val="auto"/>
              </w:rPr>
            </w:pPr>
          </w:p>
        </w:tc>
      </w:tr>
      <w:tr>
        <w:trPr>
          <w:trHeight w:val="207"/>
        </w:trPr>
        <w:tc>
          <w:tcPr>
            <w:tcW w:w="7820" w:type="dxa"/>
            <w:vAlign w:val="bottom"/>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9,892</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433,702</w:t>
            </w:r>
          </w:p>
        </w:tc>
        <w:tc>
          <w:tcPr>
            <w:tcW w:w="0" w:type="dxa"/>
            <w:vAlign w:val="bottom"/>
          </w:tcPr>
          <w:p>
            <w:pPr>
              <w:spacing w:after="0"/>
              <w:rPr>
                <w:sz w:val="1"/>
                <w:szCs w:val="1"/>
                <w:color w:val="auto"/>
              </w:rPr>
            </w:pPr>
          </w:p>
        </w:tc>
      </w:tr>
      <w:tr>
        <w:trPr>
          <w:trHeight w:val="194"/>
        </w:trPr>
        <w:tc>
          <w:tcPr>
            <w:tcW w:w="7820" w:type="dxa"/>
            <w:vAlign w:val="bottom"/>
          </w:tcPr>
          <w:p>
            <w:pPr>
              <w:ind w:left="140"/>
              <w:spacing w:after="0"/>
              <w:rPr>
                <w:sz w:val="20"/>
                <w:szCs w:val="20"/>
                <w:color w:val="auto"/>
              </w:rPr>
            </w:pPr>
            <w:r>
              <w:rPr>
                <w:rFonts w:ascii="Arial" w:cs="Arial" w:eastAsia="Arial" w:hAnsi="Arial"/>
                <w:sz w:val="16"/>
                <w:szCs w:val="16"/>
                <w:color w:val="auto"/>
              </w:rPr>
              <w:t>Commitment and contingencies</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7820" w:type="dxa"/>
            <w:vAlign w:val="bottom"/>
          </w:tcPr>
          <w:p>
            <w:pPr>
              <w:ind w:left="340"/>
              <w:spacing w:after="0" w:line="161" w:lineRule="exact"/>
              <w:rPr>
                <w:sz w:val="20"/>
                <w:szCs w:val="20"/>
                <w:color w:val="auto"/>
              </w:rPr>
            </w:pPr>
            <w:r>
              <w:rPr>
                <w:rFonts w:ascii="Arial" w:cs="Arial" w:eastAsia="Arial" w:hAnsi="Arial"/>
                <w:sz w:val="16"/>
                <w:szCs w:val="16"/>
                <w:color w:val="auto"/>
                <w:w w:val="94"/>
              </w:rPr>
              <w:t>Common stock, $0.01 par value; 200,000 shares authorized; 39,884 and 39,605 shares issued and 36,028 and</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4"/>
        </w:trPr>
        <w:tc>
          <w:tcPr>
            <w:tcW w:w="7820" w:type="dxa"/>
            <w:vAlign w:val="bottom"/>
          </w:tcPr>
          <w:p>
            <w:pPr>
              <w:ind w:left="340"/>
              <w:spacing w:after="0"/>
              <w:rPr>
                <w:sz w:val="20"/>
                <w:szCs w:val="20"/>
                <w:color w:val="auto"/>
              </w:rPr>
            </w:pPr>
            <w:r>
              <w:rPr>
                <w:rFonts w:ascii="Arial" w:cs="Arial" w:eastAsia="Arial" w:hAnsi="Arial"/>
                <w:sz w:val="16"/>
                <w:szCs w:val="16"/>
                <w:color w:val="auto"/>
              </w:rPr>
              <w:t>35,829 shares outstanding as of June 30, 2023 and December 31, 2022, respectively</w:t>
            </w: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Treasury stock, at cost; 3,856 and 3,776 shares as of June 30, 2023 and December 31, 2022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(200,008)</w:t>
            </w:r>
          </w:p>
        </w:tc>
        <w:tc>
          <w:tcPr>
            <w:tcW w:w="0" w:type="dxa"/>
            <w:vAlign w:val="bottom"/>
          </w:tcPr>
          <w:p>
            <w:pPr>
              <w:spacing w:after="0"/>
              <w:rPr>
                <w:sz w:val="1"/>
                <w:szCs w:val="1"/>
                <w:color w:val="auto"/>
              </w:rPr>
            </w:pPr>
          </w:p>
        </w:tc>
      </w:tr>
      <w:tr>
        <w:trPr>
          <w:trHeight w:val="207"/>
        </w:trPr>
        <w:tc>
          <w:tcPr>
            <w:tcW w:w="78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402,728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391,482</w:t>
            </w:r>
          </w:p>
        </w:tc>
        <w:tc>
          <w:tcPr>
            <w:tcW w:w="0" w:type="dxa"/>
            <w:vAlign w:val="bottom"/>
          </w:tcPr>
          <w:p>
            <w:pPr>
              <w:spacing w:after="0"/>
              <w:rPr>
                <w:sz w:val="1"/>
                <w:szCs w:val="1"/>
                <w:color w:val="auto"/>
              </w:rPr>
            </w:pPr>
          </w:p>
        </w:tc>
      </w:tr>
      <w:tr>
        <w:trPr>
          <w:trHeight w:val="214"/>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(15,439)</w:t>
            </w:r>
          </w:p>
        </w:tc>
        <w:tc>
          <w:tcPr>
            <w:tcW w:w="0" w:type="dxa"/>
            <w:vAlign w:val="bottom"/>
          </w:tcPr>
          <w:p>
            <w:pPr>
              <w:spacing w:after="0"/>
              <w:rPr>
                <w:sz w:val="1"/>
                <w:szCs w:val="1"/>
                <w:color w:val="auto"/>
              </w:rPr>
            </w:pPr>
          </w:p>
        </w:tc>
      </w:tr>
      <w:tr>
        <w:trPr>
          <w:trHeight w:val="207"/>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271,051</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519,507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447,482</w:t>
            </w:r>
          </w:p>
        </w:tc>
        <w:tc>
          <w:tcPr>
            <w:tcW w:w="0" w:type="dxa"/>
            <w:vAlign w:val="bottom"/>
          </w:tcPr>
          <w:p>
            <w:pPr>
              <w:spacing w:after="0"/>
              <w:rPr>
                <w:sz w:val="1"/>
                <w:szCs w:val="1"/>
                <w:color w:val="auto"/>
              </w:rPr>
            </w:pPr>
          </w:p>
        </w:tc>
      </w:tr>
      <w:tr>
        <w:trPr>
          <w:trHeight w:val="200"/>
        </w:trPr>
        <w:tc>
          <w:tcPr>
            <w:tcW w:w="7820" w:type="dxa"/>
            <w:vAlign w:val="bottom"/>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1,004,261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881,184</w:t>
            </w:r>
          </w:p>
        </w:tc>
        <w:tc>
          <w:tcPr>
            <w:tcW w:w="0" w:type="dxa"/>
            <w:vAlign w:val="bottom"/>
          </w:tcPr>
          <w:p>
            <w:pPr>
              <w:spacing w:after="0"/>
              <w:rPr>
                <w:sz w:val="1"/>
                <w:szCs w:val="1"/>
                <w:color w:val="auto"/>
              </w:rPr>
            </w:pPr>
          </w:p>
        </w:tc>
      </w:tr>
      <w:tr>
        <w:trPr>
          <w:trHeight w:val="23"/>
        </w:trPr>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69" w:right="339" w:bottom="1440" w:gutter="0" w:footer="0" w:header="0"/>
        </w:sectPr>
      </w:pPr>
    </w:p>
    <w:bookmarkStart w:id="12" w:name="page13"/>
    <w:bookmarkEnd w:id="12"/>
    <w:p>
      <w:pPr>
        <w:jc w:val="center"/>
        <w:ind w:right="16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 thousands, except par value amount)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6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r>
      <w:tr>
        <w:trPr>
          <w:trHeight w:val="233"/>
        </w:trPr>
        <w:tc>
          <w:tcPr>
            <w:tcW w:w="66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r>
      <w:tr>
        <w:trPr>
          <w:trHeight w:val="208"/>
        </w:trPr>
        <w:tc>
          <w:tcPr>
            <w:tcW w:w="66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r>
      <w:tr>
        <w:trPr>
          <w:trHeight w:val="21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19,445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82,856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46,017</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16,510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31,575</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Deferred taxes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(3,602)</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Non-cash equity-based compensation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14,869</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Bad debt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620</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Bargain purchase gain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Prepaid expenses and other current and non-current assets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(29,834)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(1,207)</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and other current and non-current liabilities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(28,980)</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Contributor royalties payable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2,683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3,713</w:t>
            </w:r>
          </w:p>
        </w:tc>
      </w:tr>
      <w:tr>
        <w:trPr>
          <w:trHeight w:val="211"/>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19,553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w:t>
            </w:r>
          </w:p>
        </w:tc>
      </w:tr>
      <w:tr>
        <w:trPr>
          <w:trHeight w:val="253"/>
        </w:trPr>
        <w:tc>
          <w:tcPr>
            <w:tcW w:w="6680" w:type="dxa"/>
            <w:vAlign w:val="bottom"/>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29,814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36,851</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96,589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59,574</w:t>
            </w:r>
          </w:p>
        </w:tc>
      </w:tr>
      <w:tr>
        <w:trPr>
          <w:trHeight w:val="208"/>
        </w:trPr>
        <w:tc>
          <w:tcPr>
            <w:tcW w:w="66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13"/>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(20,797)</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Business combination, net of cash acquired</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(53,721)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(212,096)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(53,721)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9"/>
              </w:rPr>
              <w:t>(212,096)</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Cash received related to Giphy Retention Compensation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Asset acquisitions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content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(6,999)</w:t>
            </w:r>
          </w:p>
        </w:tc>
      </w:tr>
      <w:tr>
        <w:trPr>
          <w:trHeight w:val="207"/>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Security deposit payment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r>
      <w:tr>
        <w:trPr>
          <w:trHeight w:val="207"/>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(50,191)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(227,798)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(66,128)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(240,323)</w:t>
            </w:r>
          </w:p>
        </w:tc>
      </w:tr>
      <w:tr>
        <w:trPr>
          <w:trHeight w:val="33"/>
        </w:trPr>
        <w:tc>
          <w:tcPr>
            <w:tcW w:w="66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r>
      <w:tr>
        <w:trPr>
          <w:trHeight w:val="211"/>
        </w:trPr>
        <w:tc>
          <w:tcPr>
            <w:tcW w:w="6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Repurchase of treasury shares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(18,565)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(56,937)</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Cash paid related to settlement of employee taxes related to RSU vesting</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(14,545)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(21,038)</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Payment of cash dividend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(17,371)</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Proceeds from credit facility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Payment of credit facility</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Payment of debt issuance costs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w:t>
            </w:r>
          </w:p>
        </w:tc>
      </w:tr>
      <w:tr>
        <w:trPr>
          <w:trHeight w:val="207"/>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provided by / (used in) financing activities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20,177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(57,929)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(45,397)</w:t>
            </w:r>
          </w:p>
        </w:tc>
      </w:tr>
      <w:tr>
        <w:trPr>
          <w:trHeight w:val="33"/>
        </w:trPr>
        <w:tc>
          <w:tcPr>
            <w:tcW w:w="66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r>
      <w:tr>
        <w:trPr>
          <w:trHeight w:val="207"/>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Effect of foreign exchange rate changes on cash</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(3,825)</w:t>
            </w:r>
          </w:p>
        </w:tc>
      </w:tr>
      <w:tr>
        <w:trPr>
          <w:trHeight w:val="240"/>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Net decrease in cash and cash equivalents</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(8,686)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6"/>
              </w:rPr>
              <w:t>(174,066)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(28,008)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9"/>
              </w:rPr>
              <w:t>(229,971)</w:t>
            </w: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95,832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258,112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115,154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314,017</w:t>
            </w:r>
          </w:p>
        </w:tc>
      </w:tr>
      <w:tr>
        <w:trPr>
          <w:trHeight w:val="22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84,046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87,146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84,046</w:t>
            </w:r>
          </w:p>
        </w:tc>
      </w:tr>
      <w:tr>
        <w:trPr>
          <w:trHeight w:val="21"/>
        </w:trPr>
        <w:tc>
          <w:tcPr>
            <w:tcW w:w="6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66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Information: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6"/>
                <w:szCs w:val="16"/>
                <w:color w:val="auto"/>
              </w:rPr>
              <w:t>Cash paid for income taxes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11,945</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11,034</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6,795</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12,700</w:t>
            </w:r>
          </w:p>
        </w:tc>
      </w:tr>
      <w:tr>
        <w:trPr>
          <w:trHeight w:val="214"/>
        </w:trPr>
        <w:tc>
          <w:tcPr>
            <w:tcW w:w="668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480" w:top="138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Information to GAAP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information)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Adjusted EBITDA, adjusted EBITDA margin, adjusted net income, adjusted net income per diluted share, revenue growth (including by distribution channel) on a constant currency basis (expressed as a percentage), billings and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0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2"/>
                <w:szCs w:val="12"/>
                <w:b w:val="1"/>
                <w:bCs w:val="1"/>
                <w:color w:val="auto"/>
              </w:rPr>
              <w:t>Three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2"/>
                <w:szCs w:val="12"/>
                <w:b w:val="1"/>
                <w:bCs w:val="1"/>
                <w:color w:val="auto"/>
              </w:rPr>
              <w:t>Six Months Ended June 30,</w:t>
            </w:r>
          </w:p>
        </w:tc>
      </w:tr>
      <w:tr>
        <w:trPr>
          <w:trHeight w:val="159"/>
        </w:trPr>
        <w:tc>
          <w:tcPr>
            <w:tcW w:w="50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6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2022</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71"/>
              <w:spacing w:after="0"/>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1"/>
              <w:spacing w:after="0"/>
              <w:rPr>
                <w:sz w:val="20"/>
                <w:szCs w:val="20"/>
                <w:color w:val="auto"/>
              </w:rPr>
            </w:pPr>
            <w:r>
              <w:rPr>
                <w:rFonts w:ascii="Arial" w:cs="Arial" w:eastAsia="Arial" w:hAnsi="Arial"/>
                <w:sz w:val="12"/>
                <w:szCs w:val="12"/>
                <w:b w:val="1"/>
                <w:bCs w:val="1"/>
                <w:color w:val="auto"/>
              </w:rPr>
              <w:t>2022</w:t>
            </w:r>
          </w:p>
        </w:tc>
      </w:tr>
      <w:tr>
        <w:trPr>
          <w:trHeight w:val="25"/>
        </w:trPr>
        <w:tc>
          <w:tcPr>
            <w:tcW w:w="50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7"/>
        </w:trPr>
        <w:tc>
          <w:tcPr>
            <w:tcW w:w="500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7"/>
              </w:rPr>
              <w:t>50,013</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3"/>
              </w:rPr>
              <w:t>19,445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82,856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46,017</w:t>
            </w:r>
          </w:p>
        </w:tc>
      </w:tr>
      <w:tr>
        <w:trPr>
          <w:trHeight w:val="188"/>
        </w:trPr>
        <w:tc>
          <w:tcPr>
            <w:tcW w:w="5000" w:type="dxa"/>
            <w:vAlign w:val="bottom"/>
          </w:tcPr>
          <w:p>
            <w:pPr>
              <w:ind w:left="140"/>
              <w:spacing w:after="0"/>
              <w:rPr>
                <w:sz w:val="20"/>
                <w:szCs w:val="20"/>
                <w:color w:val="auto"/>
              </w:rPr>
            </w:pPr>
            <w:r>
              <w:rPr>
                <w:rFonts w:ascii="Arial" w:cs="Arial" w:eastAsia="Arial" w:hAnsi="Arial"/>
                <w:sz w:val="14"/>
                <w:szCs w:val="14"/>
                <w:color w:val="auto"/>
              </w:rPr>
              <w:t>Add / (less) Non-GAAP adjustments:</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7"/>
        </w:trPr>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7"/>
              </w:rPr>
              <w:t>19,206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3"/>
              </w:rPr>
              <w:t>16,510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38,102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31,575</w:t>
            </w:r>
          </w:p>
        </w:tc>
      </w:tr>
      <w:tr>
        <w:trPr>
          <w:trHeight w:val="182"/>
        </w:trPr>
        <w:tc>
          <w:tcPr>
            <w:tcW w:w="5000" w:type="dxa"/>
            <w:vAlign w:val="bottom"/>
          </w:tcPr>
          <w:p>
            <w:pPr>
              <w:ind w:left="220"/>
              <w:spacing w:after="0"/>
              <w:rPr>
                <w:sz w:val="20"/>
                <w:szCs w:val="20"/>
                <w:color w:val="auto"/>
              </w:rPr>
            </w:pPr>
            <w:r>
              <w:rPr>
                <w:rFonts w:ascii="Arial" w:cs="Arial" w:eastAsia="Arial" w:hAnsi="Arial"/>
                <w:sz w:val="14"/>
                <w:szCs w:val="14"/>
                <w:color w:val="auto"/>
              </w:rPr>
              <w:t>Non-cash equity-based compensation</w:t>
            </w:r>
          </w:p>
        </w:tc>
        <w:tc>
          <w:tcPr>
            <w:tcW w:w="860" w:type="dxa"/>
            <w:vAlign w:val="bottom"/>
          </w:tcPr>
          <w:p>
            <w:pPr>
              <w:spacing w:after="0"/>
              <w:rPr>
                <w:sz w:val="15"/>
                <w:szCs w:val="15"/>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color w:val="auto"/>
                <w:w w:val="97"/>
              </w:rPr>
              <w:t>14,943</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7,043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23,586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14,869</w:t>
            </w:r>
          </w:p>
        </w:tc>
      </w:tr>
      <w:tr>
        <w:trPr>
          <w:trHeight w:val="200"/>
        </w:trPr>
        <w:tc>
          <w:tcPr>
            <w:tcW w:w="5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Bargain purchase gain</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88"/>
              </w:rPr>
              <w:t>(41,940)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(41,940)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r>
      <w:tr>
        <w:trPr>
          <w:trHeight w:val="188"/>
        </w:trPr>
        <w:tc>
          <w:tcPr>
            <w:tcW w:w="5000" w:type="dxa"/>
            <w:vAlign w:val="bottom"/>
          </w:tcPr>
          <w:p>
            <w:pPr>
              <w:ind w:left="220"/>
              <w:spacing w:after="0"/>
              <w:rPr>
                <w:sz w:val="20"/>
                <w:szCs w:val="20"/>
                <w:color w:val="auto"/>
              </w:rPr>
            </w:pPr>
            <w:r>
              <w:rPr>
                <w:rFonts w:ascii="Arial" w:cs="Arial" w:eastAsia="Arial" w:hAnsi="Arial"/>
                <w:sz w:val="14"/>
                <w:szCs w:val="14"/>
                <w:color w:val="auto"/>
              </w:rPr>
              <w:t>Giphy Retention Compensation Expense - non-recurring</w:t>
            </w:r>
          </w:p>
        </w:tc>
        <w:tc>
          <w:tcPr>
            <w:tcW w:w="86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color w:val="auto"/>
                <w:w w:val="97"/>
              </w:rPr>
              <w:t>17,191</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17,191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91"/>
              <w:spacing w:after="0"/>
              <w:rPr>
                <w:sz w:val="20"/>
                <w:szCs w:val="20"/>
                <w:color w:val="auto"/>
              </w:rPr>
            </w:pPr>
            <w:r>
              <w:rPr>
                <w:rFonts w:ascii="Arial" w:cs="Arial" w:eastAsia="Arial" w:hAnsi="Arial"/>
                <w:sz w:val="14"/>
                <w:szCs w:val="14"/>
                <w:color w:val="auto"/>
              </w:rPr>
              <w:t>—</w:t>
            </w:r>
          </w:p>
        </w:tc>
      </w:tr>
      <w:tr>
        <w:trPr>
          <w:trHeight w:val="193"/>
        </w:trPr>
        <w:tc>
          <w:tcPr>
            <w:tcW w:w="5000" w:type="dxa"/>
            <w:vAlign w:val="bottom"/>
            <w:shd w:val="clear" w:color="auto" w:fill="CCEEFF"/>
          </w:tcPr>
          <w:p>
            <w:pPr>
              <w:ind w:left="220"/>
              <w:spacing w:after="0" w:line="194" w:lineRule="exact"/>
              <w:rPr>
                <w:sz w:val="20"/>
                <w:szCs w:val="20"/>
                <w:color w:val="auto"/>
              </w:rPr>
            </w:pPr>
            <w:r>
              <w:rPr>
                <w:rFonts w:ascii="Arial" w:cs="Arial" w:eastAsia="Arial" w:hAnsi="Arial"/>
                <w:sz w:val="14"/>
                <w:szCs w:val="14"/>
                <w:color w:val="auto"/>
              </w:rPr>
              <w:t xml:space="preserve">Other adjustments, net </w:t>
            </w:r>
            <w:r>
              <w:rPr>
                <w:rFonts w:ascii="Arial" w:cs="Arial" w:eastAsia="Arial" w:hAnsi="Arial"/>
                <w:sz w:val="18"/>
                <w:szCs w:val="18"/>
                <w:color w:val="auto"/>
                <w:vertAlign w:val="superscript"/>
              </w:rPr>
              <w:t>(1)</w:t>
            </w: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1,903</w:t>
            </w:r>
          </w:p>
        </w:tc>
      </w:tr>
      <w:tr>
        <w:trPr>
          <w:trHeight w:val="182"/>
        </w:trPr>
        <w:tc>
          <w:tcPr>
            <w:tcW w:w="5000" w:type="dxa"/>
            <w:vAlign w:val="bottom"/>
          </w:tcPr>
          <w:p>
            <w:pPr>
              <w:ind w:left="220"/>
              <w:spacing w:after="0"/>
              <w:rPr>
                <w:sz w:val="20"/>
                <w:szCs w:val="20"/>
                <w:color w:val="auto"/>
              </w:rPr>
            </w:pPr>
            <w:r>
              <w:rPr>
                <w:rFonts w:ascii="Arial" w:cs="Arial" w:eastAsia="Arial" w:hAnsi="Arial"/>
                <w:sz w:val="14"/>
                <w:szCs w:val="14"/>
                <w:color w:val="auto"/>
              </w:rPr>
              <w:t>Provision for income taxes</w:t>
            </w:r>
          </w:p>
        </w:tc>
        <w:tc>
          <w:tcPr>
            <w:tcW w:w="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3,268</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9,939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9,372</w:t>
            </w:r>
          </w:p>
        </w:tc>
      </w:tr>
      <w:tr>
        <w:trPr>
          <w:trHeight w:val="213"/>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86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7"/>
              </w:rPr>
              <w:t>60,055</w:t>
            </w:r>
          </w:p>
        </w:tc>
        <w:tc>
          <w:tcPr>
            <w:tcW w:w="1000" w:type="dxa"/>
            <w:vAlign w:val="bottom"/>
            <w:gridSpan w:val="2"/>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93"/>
              </w:rPr>
              <w:t>48,927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129,819</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103,736</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500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28.8 %</w:t>
            </w:r>
          </w:p>
        </w:tc>
        <w:tc>
          <w:tcPr>
            <w:tcW w:w="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23.7 %</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30.6 %</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25.6 %</w:t>
            </w:r>
          </w:p>
        </w:tc>
      </w:tr>
      <w:tr>
        <w:trPr>
          <w:trHeight w:val="20"/>
        </w:trPr>
        <w:tc>
          <w:tcPr>
            <w:tcW w:w="5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w:t>
      </w:r>
    </w:p>
    <w:p>
      <w:pPr>
        <w:spacing w:after="0" w:line="106"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Other adjustments, net includes unrealized foreign currency transaction gains and losses, severance costs associated with strategic workforce optimizations and interest income and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2"/>
                <w:szCs w:val="12"/>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2"/>
                <w:szCs w:val="12"/>
                <w:b w:val="1"/>
                <w:bCs w:val="1"/>
                <w:color w:val="auto"/>
              </w:rPr>
              <w:t>Six Months Ended June 30,</w:t>
            </w:r>
          </w:p>
        </w:tc>
      </w:tr>
      <w:tr>
        <w:trPr>
          <w:trHeight w:val="159"/>
        </w:trPr>
        <w:tc>
          <w:tcPr>
            <w:tcW w:w="5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540" w:type="dxa"/>
            <w:vAlign w:val="bottom"/>
          </w:tcPr>
          <w:p>
            <w:pPr>
              <w:spacing w:after="0"/>
              <w:rPr>
                <w:sz w:val="13"/>
                <w:szCs w:val="13"/>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2"/>
                <w:szCs w:val="12"/>
                <w:b w:val="1"/>
                <w:bCs w:val="1"/>
                <w:color w:val="auto"/>
              </w:rPr>
              <w:t>2022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11"/>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10"/>
              <w:spacing w:after="0"/>
              <w:rPr>
                <w:sz w:val="20"/>
                <w:szCs w:val="20"/>
                <w:color w:val="auto"/>
              </w:rPr>
            </w:pPr>
            <w:r>
              <w:rPr>
                <w:rFonts w:ascii="Arial" w:cs="Arial" w:eastAsia="Arial" w:hAnsi="Arial"/>
                <w:sz w:val="12"/>
                <w:szCs w:val="12"/>
                <w:b w:val="1"/>
                <w:bCs w:val="1"/>
                <w:color w:val="auto"/>
              </w:rPr>
              <w:t>2022</w:t>
            </w:r>
          </w:p>
        </w:tc>
      </w:tr>
      <w:tr>
        <w:trPr>
          <w:trHeight w:val="25"/>
        </w:trPr>
        <w:tc>
          <w:tcPr>
            <w:tcW w:w="5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7"/>
        </w:trPr>
        <w:tc>
          <w:tcPr>
            <w:tcW w:w="52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0"/>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82,856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46,017</w:t>
            </w:r>
          </w:p>
        </w:tc>
      </w:tr>
      <w:tr>
        <w:trPr>
          <w:trHeight w:val="188"/>
        </w:trPr>
        <w:tc>
          <w:tcPr>
            <w:tcW w:w="5220" w:type="dxa"/>
            <w:vAlign w:val="bottom"/>
          </w:tcPr>
          <w:p>
            <w:pPr>
              <w:ind w:left="140"/>
              <w:spacing w:after="0"/>
              <w:rPr>
                <w:sz w:val="20"/>
                <w:szCs w:val="20"/>
                <w:color w:val="auto"/>
              </w:rPr>
            </w:pPr>
            <w:r>
              <w:rPr>
                <w:rFonts w:ascii="Arial" w:cs="Arial" w:eastAsia="Arial" w:hAnsi="Arial"/>
                <w:sz w:val="14"/>
                <w:szCs w:val="14"/>
                <w:color w:val="auto"/>
              </w:rPr>
              <w:t>Add / (less) Non-GAAP adjustments: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equity-based compensation</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14,943</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14,869</w:t>
            </w:r>
          </w:p>
        </w:tc>
      </w:tr>
      <w:tr>
        <w:trPr>
          <w:trHeight w:val="184"/>
        </w:trPr>
        <w:tc>
          <w:tcPr>
            <w:tcW w:w="5220" w:type="dxa"/>
            <w:vAlign w:val="bottom"/>
          </w:tcPr>
          <w:p>
            <w:pPr>
              <w:ind w:left="220"/>
              <w:spacing w:after="0" w:line="184" w:lineRule="exact"/>
              <w:rPr>
                <w:sz w:val="20"/>
                <w:szCs w:val="20"/>
                <w:color w:val="auto"/>
              </w:rPr>
            </w:pPr>
            <w:r>
              <w:rPr>
                <w:rFonts w:ascii="Arial" w:cs="Arial" w:eastAsia="Arial" w:hAnsi="Arial"/>
                <w:sz w:val="14"/>
                <w:szCs w:val="14"/>
                <w:color w:val="auto"/>
              </w:rPr>
              <w:t xml:space="preserve">Tax effect of non-cash equity-based compensation </w:t>
            </w:r>
            <w:r>
              <w:rPr>
                <w:rFonts w:ascii="Arial" w:cs="Arial" w:eastAsia="Arial" w:hAnsi="Arial"/>
                <w:sz w:val="18"/>
                <w:szCs w:val="18"/>
                <w:color w:val="auto"/>
                <w:vertAlign w:val="superscript"/>
              </w:rPr>
              <w:t>(2)</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(3,512)</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(3,493)</w:t>
            </w:r>
          </w:p>
        </w:tc>
      </w:tr>
      <w:tr>
        <w:trPr>
          <w:trHeight w:val="197"/>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Acquisition-related amortization expense </w:t>
            </w:r>
            <w:r>
              <w:rPr>
                <w:rFonts w:ascii="Arial" w:cs="Arial" w:eastAsia="Arial" w:hAnsi="Arial"/>
                <w:sz w:val="9"/>
                <w:szCs w:val="9"/>
                <w:color w:val="auto"/>
              </w:rPr>
              <w:t>(3)</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13,155</w:t>
            </w:r>
          </w:p>
        </w:tc>
      </w:tr>
      <w:tr>
        <w:trPr>
          <w:trHeight w:val="197"/>
        </w:trPr>
        <w:tc>
          <w:tcPr>
            <w:tcW w:w="5220" w:type="dxa"/>
            <w:vAlign w:val="bottom"/>
          </w:tcPr>
          <w:p>
            <w:pPr>
              <w:ind w:left="220"/>
              <w:spacing w:after="0" w:line="197" w:lineRule="exact"/>
              <w:rPr>
                <w:sz w:val="20"/>
                <w:szCs w:val="20"/>
                <w:color w:val="auto"/>
              </w:rPr>
            </w:pPr>
            <w:r>
              <w:rPr>
                <w:rFonts w:ascii="Arial" w:cs="Arial" w:eastAsia="Arial" w:hAnsi="Arial"/>
                <w:sz w:val="14"/>
                <w:szCs w:val="14"/>
                <w:color w:val="auto"/>
              </w:rPr>
              <w:t xml:space="preserve">Tax effect of acquisition-related amortization expense </w:t>
            </w:r>
            <w:r>
              <w:rPr>
                <w:rFonts w:ascii="Arial" w:cs="Arial" w:eastAsia="Arial" w:hAnsi="Arial"/>
                <w:sz w:val="18"/>
                <w:szCs w:val="18"/>
                <w:color w:val="auto"/>
                <w:vertAlign w:val="superscript"/>
              </w:rPr>
              <w:t>(2)</w:t>
            </w: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(1,967)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(3,092)</w:t>
            </w:r>
          </w:p>
        </w:tc>
      </w:tr>
      <w:tr>
        <w:trPr>
          <w:trHeight w:val="184"/>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Bargain purchase gain</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(41,940)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5220" w:type="dxa"/>
            <w:vAlign w:val="bottom"/>
          </w:tcPr>
          <w:p>
            <w:pPr>
              <w:ind w:left="220"/>
              <w:spacing w:after="0"/>
              <w:rPr>
                <w:sz w:val="20"/>
                <w:szCs w:val="20"/>
                <w:color w:val="auto"/>
              </w:rPr>
            </w:pPr>
            <w:r>
              <w:rPr>
                <w:rFonts w:ascii="Arial" w:cs="Arial" w:eastAsia="Arial" w:hAnsi="Arial"/>
                <w:sz w:val="14"/>
                <w:szCs w:val="14"/>
                <w:color w:val="auto"/>
              </w:rPr>
              <w:t>Giphy Retention Compensation Expense - non-recurring</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17,191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17,191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effect of Giphy Retention Compensation Expense - non-recurring</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220" w:type="dxa"/>
            <w:vAlign w:val="bottom"/>
          </w:tcPr>
          <w:p>
            <w:pPr>
              <w:ind w:left="220"/>
              <w:spacing w:after="0"/>
              <w:rPr>
                <w:sz w:val="20"/>
                <w:szCs w:val="20"/>
                <w:color w:val="auto"/>
              </w:rPr>
            </w:pPr>
            <w:r>
              <w:rPr>
                <w:rFonts w:ascii="Arial" w:cs="Arial" w:eastAsia="Arial" w:hAnsi="Arial"/>
                <w:sz w:val="14"/>
                <w:szCs w:val="14"/>
                <w:color w:val="auto"/>
              </w:rPr>
              <w:t>Other</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effect of other</w:t>
            </w:r>
            <w:r>
              <w:rPr>
                <w:rFonts w:ascii="Arial" w:cs="Arial" w:eastAsia="Arial" w:hAnsi="Arial"/>
                <w:sz w:val="9"/>
                <w:szCs w:val="9"/>
                <w:color w:val="auto"/>
              </w:rPr>
              <w:t>(2)</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5220" w:type="dxa"/>
            <w:vAlign w:val="bottom"/>
          </w:tcPr>
          <w:p>
            <w:pPr>
              <w:ind w:left="20"/>
              <w:spacing w:after="0" w:line="159" w:lineRule="exact"/>
              <w:rPr>
                <w:sz w:val="20"/>
                <w:szCs w:val="20"/>
                <w:color w:val="auto"/>
              </w:rPr>
            </w:pPr>
            <w:r>
              <w:rPr>
                <w:rFonts w:ascii="Arial" w:cs="Arial" w:eastAsia="Arial" w:hAnsi="Arial"/>
                <w:sz w:val="14"/>
                <w:szCs w:val="14"/>
                <w:color w:val="auto"/>
              </w:rPr>
              <w:t>Adjusted net income</w:t>
            </w:r>
          </w:p>
        </w:tc>
        <w:tc>
          <w:tcPr>
            <w:tcW w:w="88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39,058</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30,272</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86,192</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67,456</w:t>
            </w:r>
          </w:p>
        </w:tc>
      </w:tr>
      <w:tr>
        <w:trPr>
          <w:trHeight w:val="51"/>
        </w:trPr>
        <w:tc>
          <w:tcPr>
            <w:tcW w:w="52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2"/>
        </w:trPr>
        <w:tc>
          <w:tcPr>
            <w:tcW w:w="522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Net income per diluted share</w:t>
            </w:r>
          </w:p>
        </w:tc>
        <w:tc>
          <w:tcPr>
            <w:tcW w:w="880" w:type="dxa"/>
            <w:vAlign w:val="bottom"/>
            <w:tcBorders>
              <w:top w:val="single" w:sz="8" w:color="CCEEFF"/>
            </w:tcBorders>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1.37</w:t>
            </w:r>
          </w:p>
        </w:tc>
        <w:tc>
          <w:tcPr>
            <w:tcW w:w="1020" w:type="dxa"/>
            <w:vAlign w:val="bottom"/>
            <w:tcBorders>
              <w:top w:val="single" w:sz="8" w:color="CCEEFF"/>
            </w:tcBorders>
            <w:gridSpan w:val="2"/>
          </w:tcPr>
          <w:p>
            <w:pPr>
              <w:jc w:val="right"/>
              <w:ind w:right="75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0.53</w:t>
            </w:r>
          </w:p>
        </w:tc>
        <w:tc>
          <w:tcPr>
            <w:tcW w:w="440" w:type="dxa"/>
            <w:vAlign w:val="bottom"/>
            <w:tcBorders>
              <w:top w:val="single" w:sz="8" w:color="CCEEFF"/>
            </w:tcBorders>
            <w:gridSpan w:val="2"/>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2.27</w:t>
            </w:r>
          </w:p>
        </w:tc>
        <w:tc>
          <w:tcPr>
            <w:tcW w:w="460" w:type="dxa"/>
            <w:vAlign w:val="bottom"/>
            <w:tcBorders>
              <w:top w:val="single" w:sz="8" w:color="CCEEFF"/>
            </w:tcBorders>
            <w:gridSpan w:val="2"/>
          </w:tcPr>
          <w:p>
            <w:pPr>
              <w:jc w:val="right"/>
              <w:ind w:right="19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1.25</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522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Adjusted net income per diluted share</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5220" w:type="dxa"/>
            <w:vAlign w:val="bottom"/>
          </w:tcPr>
          <w:p>
            <w:pPr>
              <w:ind w:left="20"/>
              <w:spacing w:after="0"/>
              <w:rPr>
                <w:sz w:val="20"/>
                <w:szCs w:val="20"/>
                <w:color w:val="auto"/>
              </w:rPr>
            </w:pPr>
            <w:r>
              <w:rPr>
                <w:rFonts w:ascii="Arial" w:cs="Arial" w:eastAsia="Arial" w:hAnsi="Arial"/>
                <w:sz w:val="14"/>
                <w:szCs w:val="14"/>
                <w:color w:val="auto"/>
              </w:rPr>
              <w:t>Weighted average diluted shares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36,406</w:t>
            </w: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36,578</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36,490</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36,890</w:t>
            </w:r>
          </w:p>
        </w:tc>
      </w:tr>
      <w:tr>
        <w:trPr>
          <w:trHeight w:val="20"/>
        </w:trPr>
        <w:tc>
          <w:tcPr>
            <w:tcW w:w="5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w:t>
      </w:r>
    </w:p>
    <w:p>
      <w:pPr>
        <w:spacing w:after="0" w:line="106" w:lineRule="exact"/>
        <w:rPr>
          <w:sz w:val="20"/>
          <w:szCs w:val="20"/>
          <w:color w:val="auto"/>
        </w:rPr>
      </w:pPr>
    </w:p>
    <w:p>
      <w:pPr>
        <w:ind w:left="640" w:hanging="319"/>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Statutory tax rates are used to calculate the tax effect of the adjustments.</w:t>
      </w:r>
    </w:p>
    <w:p>
      <w:pPr>
        <w:spacing w:after="0" w:line="16" w:lineRule="exact"/>
        <w:rPr>
          <w:rFonts w:ascii="Arial" w:cs="Arial" w:eastAsia="Arial" w:hAnsi="Arial"/>
          <w:sz w:val="12"/>
          <w:szCs w:val="12"/>
          <w:color w:val="auto"/>
        </w:rPr>
      </w:pPr>
    </w:p>
    <w:p>
      <w:pPr>
        <w:ind w:left="640" w:right="20" w:hanging="319"/>
        <w:spacing w:after="0" w:line="264" w:lineRule="auto"/>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Of these amounts, $7.7 million and $6.6 million are included in cost of revenue for the three months ended June 30, 2023 and 2022, respectively. The remainder of acquisition-related amortization expense is included in general and administrative expense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05"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169"/>
        </w:trPr>
        <w:tc>
          <w:tcPr>
            <w:tcW w:w="4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2"/>
                <w:szCs w:val="12"/>
                <w:b w:val="1"/>
                <w:bCs w:val="1"/>
                <w:color w:val="auto"/>
              </w:rPr>
              <w:t>Three Months Ended June 30,</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2"/>
                <w:szCs w:val="12"/>
                <w:b w:val="1"/>
                <w:bCs w:val="1"/>
                <w:color w:val="auto"/>
              </w:rPr>
              <w:t>Six Months Ended June 30,</w:t>
            </w:r>
          </w:p>
        </w:tc>
      </w:tr>
      <w:tr>
        <w:trPr>
          <w:trHeight w:val="159"/>
        </w:trPr>
        <w:tc>
          <w:tcPr>
            <w:tcW w:w="4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1"/>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51"/>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51"/>
              <w:spacing w:after="0"/>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31"/>
              <w:spacing w:after="0"/>
              <w:rPr>
                <w:sz w:val="20"/>
                <w:szCs w:val="20"/>
                <w:color w:val="auto"/>
              </w:rPr>
            </w:pPr>
            <w:r>
              <w:rPr>
                <w:rFonts w:ascii="Arial" w:cs="Arial" w:eastAsia="Arial" w:hAnsi="Arial"/>
                <w:sz w:val="12"/>
                <w:szCs w:val="12"/>
                <w:b w:val="1"/>
                <w:bCs w:val="1"/>
                <w:color w:val="auto"/>
              </w:rPr>
              <w:t>2022</w:t>
            </w:r>
          </w:p>
        </w:tc>
      </w:tr>
      <w:tr>
        <w:trPr>
          <w:trHeight w:val="25"/>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7"/>
        </w:trPr>
        <w:tc>
          <w:tcPr>
            <w:tcW w:w="49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Total Revenue</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208,840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206,872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424,120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406,004</w:t>
            </w:r>
          </w:p>
        </w:tc>
      </w:tr>
      <w:tr>
        <w:trPr>
          <w:trHeight w:val="92"/>
        </w:trPr>
        <w:tc>
          <w:tcPr>
            <w:tcW w:w="4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97"/>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 growth</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79"/>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Revenue growth on a constant currency basis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97"/>
        </w:trPr>
        <w:tc>
          <w:tcPr>
            <w:tcW w:w="4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97"/>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E-commerce revenue</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111,903</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127,388</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231,657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254,458</w:t>
            </w:r>
          </w:p>
        </w:tc>
      </w:tr>
      <w:tr>
        <w:trPr>
          <w:trHeight w:val="182"/>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Revenue growth: E-commerce</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6 %</w:t>
            </w:r>
          </w:p>
        </w:tc>
      </w:tr>
      <w:tr>
        <w:trPr>
          <w:trHeight w:val="20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 growth: E-commerce on a constant currency basis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92"/>
        </w:trPr>
        <w:tc>
          <w:tcPr>
            <w:tcW w:w="4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184"/>
        </w:trPr>
        <w:tc>
          <w:tcPr>
            <w:tcW w:w="4940" w:type="dxa"/>
            <w:vAlign w:val="bottom"/>
            <w:shd w:val="clear" w:color="auto" w:fill="CCEEFF"/>
          </w:tcPr>
          <w:p>
            <w:pPr>
              <w:ind w:left="20"/>
              <w:spacing w:after="0" w:line="184" w:lineRule="exact"/>
              <w:rPr>
                <w:sz w:val="20"/>
                <w:szCs w:val="20"/>
                <w:color w:val="auto"/>
              </w:rPr>
            </w:pPr>
            <w:r>
              <w:rPr>
                <w:rFonts w:ascii="Arial" w:cs="Arial" w:eastAsia="Arial" w:hAnsi="Arial"/>
                <w:sz w:val="14"/>
                <w:szCs w:val="14"/>
                <w:i w:val="1"/>
                <w:iCs w:val="1"/>
                <w:color w:val="auto"/>
              </w:rPr>
              <w:t>Enterprise revenue</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96,937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79,484</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192,463</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151,546</w:t>
            </w:r>
          </w:p>
        </w:tc>
      </w:tr>
      <w:tr>
        <w:trPr>
          <w:trHeight w:val="188"/>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Revenue growth: Enterprise</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07"/>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 growth: Enterprise on a constant currency basis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bl>
    <w:p>
      <w:pPr>
        <w:spacing w:after="0" w:line="170" w:lineRule="exact"/>
        <w:rPr>
          <w:sz w:val="20"/>
          <w:szCs w:val="20"/>
          <w:color w:val="auto"/>
        </w:rPr>
      </w:pPr>
    </w:p>
    <w:p>
      <w:pPr>
        <w:ind w:right="220"/>
        <w:spacing w:after="0" w:line="282" w:lineRule="auto"/>
        <w:rPr>
          <w:sz w:val="20"/>
          <w:szCs w:val="20"/>
          <w:color w:val="auto"/>
        </w:rPr>
      </w:pPr>
      <w:r>
        <w:rPr>
          <w:rFonts w:ascii="Arial" w:cs="Arial" w:eastAsia="Arial" w:hAnsi="Arial"/>
          <w:sz w:val="12"/>
          <w:szCs w:val="12"/>
          <w:color w:val="auto"/>
        </w:rPr>
        <w:t>1 - Enterprise revenue includes $17.3 million and $2.2 million, related to our computer vision data partnerships, for the three months ended June 30, 2023 and 2022, respectively. Enterprise revenue includes $34.0 million and $2.9 million, related to our computer vision data partnerships, for the six months ended June 30, 2023 and 2022, respectively.</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20" w:type="dxa"/>
            <w:vAlign w:val="bottom"/>
          </w:tcPr>
          <w:p>
            <w:pPr>
              <w:spacing w:after="0"/>
              <w:rPr>
                <w:sz w:val="14"/>
                <w:szCs w:val="14"/>
                <w:color w:val="auto"/>
              </w:rPr>
            </w:pPr>
          </w:p>
        </w:tc>
        <w:tc>
          <w:tcPr>
            <w:tcW w:w="240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2"/>
                <w:szCs w:val="12"/>
                <w:b w:val="1"/>
                <w:bCs w:val="1"/>
                <w:color w:val="auto"/>
              </w:rPr>
              <w:t>Three Months Ended 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2"/>
                <w:szCs w:val="12"/>
                <w:b w:val="1"/>
                <w:bCs w:val="1"/>
                <w:color w:val="auto"/>
              </w:rPr>
              <w:t>Six Months Ended June 30,</w:t>
            </w:r>
          </w:p>
        </w:tc>
      </w:tr>
      <w:tr>
        <w:trPr>
          <w:trHeight w:val="165"/>
        </w:trPr>
        <w:tc>
          <w:tcPr>
            <w:tcW w:w="52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2023</w:t>
            </w:r>
          </w:p>
        </w:tc>
        <w:tc>
          <w:tcPr>
            <w:tcW w:w="560" w:type="dxa"/>
            <w:vAlign w:val="bottom"/>
            <w:tcBorders>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2"/>
                <w:szCs w:val="12"/>
                <w:b w:val="1"/>
                <w:bCs w:val="1"/>
                <w:color w:val="auto"/>
              </w:rPr>
              <w:t>2022</w:t>
            </w:r>
          </w:p>
        </w:tc>
      </w:tr>
      <w:tr>
        <w:trPr>
          <w:trHeight w:val="196"/>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60" w:type="dxa"/>
            <w:vAlign w:val="bottom"/>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29,814</w:t>
            </w:r>
          </w:p>
        </w:tc>
        <w:tc>
          <w:tcPr>
            <w:tcW w:w="980" w:type="dxa"/>
            <w:vAlign w:val="bottom"/>
            <w:gridSpan w:val="3"/>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36,851</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96,589</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59,574</w:t>
            </w:r>
          </w:p>
        </w:tc>
      </w:tr>
      <w:tr>
        <w:trPr>
          <w:trHeight w:val="188"/>
        </w:trPr>
        <w:tc>
          <w:tcPr>
            <w:tcW w:w="5220" w:type="dxa"/>
            <w:vAlign w:val="bottom"/>
          </w:tcPr>
          <w:p>
            <w:pPr>
              <w:ind w:left="140"/>
              <w:spacing w:after="0"/>
              <w:rPr>
                <w:sz w:val="20"/>
                <w:szCs w:val="20"/>
                <w:color w:val="auto"/>
              </w:rPr>
            </w:pPr>
            <w:r>
              <w:rPr>
                <w:rFonts w:ascii="Arial" w:cs="Arial" w:eastAsia="Arial" w:hAnsi="Arial"/>
                <w:sz w:val="14"/>
                <w:szCs w:val="14"/>
                <w:color w:val="auto"/>
              </w:rPr>
              <w:t>Capital expenditures</w:t>
            </w: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(10,490)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(20,797)</w:t>
            </w:r>
          </w:p>
        </w:tc>
      </w:tr>
      <w:tr>
        <w:trPr>
          <w:trHeight w:val="193"/>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Content acquisition</w:t>
            </w: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(6,999)</w:t>
            </w:r>
          </w:p>
        </w:tc>
      </w:tr>
      <w:tr>
        <w:trPr>
          <w:trHeight w:val="182"/>
        </w:trPr>
        <w:tc>
          <w:tcPr>
            <w:tcW w:w="5220" w:type="dxa"/>
            <w:vAlign w:val="bottom"/>
          </w:tcPr>
          <w:p>
            <w:pPr>
              <w:ind w:left="140"/>
              <w:spacing w:after="0"/>
              <w:rPr>
                <w:sz w:val="20"/>
                <w:szCs w:val="20"/>
                <w:color w:val="auto"/>
              </w:rPr>
            </w:pPr>
            <w:r>
              <w:rPr>
                <w:rFonts w:ascii="Arial" w:cs="Arial" w:eastAsia="Arial" w:hAnsi="Arial"/>
                <w:sz w:val="14"/>
                <w:szCs w:val="14"/>
                <w:color w:val="auto"/>
              </w:rPr>
              <w:t>Cash received related to Giphy Retention Compensation</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86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33,351</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84,219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31,778</w:t>
            </w:r>
          </w:p>
        </w:tc>
      </w:tr>
      <w:tr>
        <w:trPr>
          <w:trHeight w:val="20"/>
        </w:trPr>
        <w:tc>
          <w:tcPr>
            <w:tcW w:w="5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683"/>
        </w:trPr>
        <w:tc>
          <w:tcPr>
            <w:tcW w:w="5220" w:type="dxa"/>
            <w:vAlign w:val="bottom"/>
          </w:tcPr>
          <w:p>
            <w:pPr>
              <w:spacing w:after="0"/>
              <w:rPr>
                <w:sz w:val="24"/>
                <w:szCs w:val="24"/>
                <w:color w:val="auto"/>
              </w:rPr>
            </w:pPr>
          </w:p>
        </w:tc>
        <w:tc>
          <w:tcPr>
            <w:tcW w:w="240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2"/>
                <w:szCs w:val="12"/>
                <w:b w:val="1"/>
                <w:bCs w:val="1"/>
                <w:color w:val="auto"/>
              </w:rPr>
              <w:t>Three Months Ended June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2"/>
                <w:szCs w:val="12"/>
                <w:b w:val="1"/>
                <w:bCs w:val="1"/>
                <w:color w:val="auto"/>
              </w:rPr>
              <w:t>Six Months Ended June 30,</w:t>
            </w:r>
          </w:p>
        </w:tc>
      </w:tr>
      <w:tr>
        <w:trPr>
          <w:trHeight w:val="165"/>
        </w:trPr>
        <w:tc>
          <w:tcPr>
            <w:tcW w:w="5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5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12"/>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11"/>
              <w:spacing w:after="0"/>
              <w:rPr>
                <w:sz w:val="20"/>
                <w:szCs w:val="20"/>
                <w:color w:val="auto"/>
              </w:rPr>
            </w:pPr>
            <w:r>
              <w:rPr>
                <w:rFonts w:ascii="Arial" w:cs="Arial" w:eastAsia="Arial" w:hAnsi="Arial"/>
                <w:sz w:val="12"/>
                <w:szCs w:val="12"/>
                <w:b w:val="1"/>
                <w:bCs w:val="1"/>
                <w:color w:val="auto"/>
              </w:rPr>
              <w:t>2022</w:t>
            </w:r>
          </w:p>
        </w:tc>
      </w:tr>
      <w:tr>
        <w:trPr>
          <w:trHeight w:val="18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E-commerce revenue</w:t>
            </w:r>
          </w:p>
        </w:tc>
        <w:tc>
          <w:tcPr>
            <w:tcW w:w="86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111,903</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gridSpan w:val="2"/>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127,388</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231,657</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254,458</w:t>
            </w:r>
          </w:p>
        </w:tc>
      </w:tr>
      <w:tr>
        <w:trPr>
          <w:trHeight w:val="192"/>
        </w:trPr>
        <w:tc>
          <w:tcPr>
            <w:tcW w:w="5220" w:type="dxa"/>
            <w:vAlign w:val="bottom"/>
          </w:tcPr>
          <w:p>
            <w:pPr>
              <w:ind w:left="20"/>
              <w:spacing w:after="0"/>
              <w:rPr>
                <w:sz w:val="20"/>
                <w:szCs w:val="20"/>
                <w:color w:val="auto"/>
              </w:rPr>
            </w:pPr>
            <w:r>
              <w:rPr>
                <w:rFonts w:ascii="Arial" w:cs="Arial" w:eastAsia="Arial" w:hAnsi="Arial"/>
                <w:sz w:val="14"/>
                <w:szCs w:val="14"/>
                <w:color w:val="auto"/>
              </w:rPr>
              <w:t>Enterprise revenue</w:t>
            </w:r>
          </w:p>
        </w:tc>
        <w:tc>
          <w:tcPr>
            <w:tcW w:w="8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96,937</w:t>
            </w:r>
          </w:p>
        </w:tc>
        <w:tc>
          <w:tcPr>
            <w:tcW w:w="100" w:type="dxa"/>
            <w:vAlign w:val="bottom"/>
          </w:tcPr>
          <w:p>
            <w:pPr>
              <w:spacing w:after="0"/>
              <w:rPr>
                <w:sz w:val="16"/>
                <w:szCs w:val="16"/>
                <w:color w:val="auto"/>
              </w:rPr>
            </w:pPr>
          </w:p>
        </w:tc>
        <w:tc>
          <w:tcPr>
            <w:tcW w:w="88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79,484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192,463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151,546</w:t>
            </w:r>
          </w:p>
        </w:tc>
      </w:tr>
      <w:tr>
        <w:trPr>
          <w:trHeight w:val="189"/>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860" w:type="dxa"/>
            <w:vAlign w:val="bottom"/>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208,840</w:t>
            </w:r>
          </w:p>
        </w:tc>
        <w:tc>
          <w:tcPr>
            <w:tcW w:w="980" w:type="dxa"/>
            <w:vAlign w:val="bottom"/>
            <w:gridSpan w:val="3"/>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206,872</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424,120</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406,004</w:t>
            </w:r>
          </w:p>
        </w:tc>
      </w:tr>
      <w:tr>
        <w:trPr>
          <w:trHeight w:val="92"/>
        </w:trPr>
        <w:tc>
          <w:tcPr>
            <w:tcW w:w="5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r>
      <w:tr>
        <w:trPr>
          <w:trHeight w:val="182"/>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total deferred revenue</w:t>
            </w:r>
          </w:p>
        </w:tc>
        <w:tc>
          <w:tcPr>
            <w:tcW w:w="86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26,785</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gridSpan w:val="2"/>
            <w:shd w:val="clear" w:color="auto" w:fill="CCEEFF"/>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20,413</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(6,331)</w:t>
            </w:r>
          </w:p>
        </w:tc>
      </w:tr>
      <w:tr>
        <w:trPr>
          <w:trHeight w:val="186"/>
        </w:trPr>
        <w:tc>
          <w:tcPr>
            <w:tcW w:w="5220" w:type="dxa"/>
            <w:vAlign w:val="bottom"/>
          </w:tcPr>
          <w:p>
            <w:pPr>
              <w:ind w:left="140"/>
              <w:spacing w:after="0"/>
              <w:rPr>
                <w:sz w:val="20"/>
                <w:szCs w:val="20"/>
                <w:color w:val="auto"/>
              </w:rPr>
            </w:pPr>
            <w:r>
              <w:rPr>
                <w:rFonts w:ascii="Arial" w:cs="Arial" w:eastAsia="Arial" w:hAnsi="Arial"/>
                <w:sz w:val="14"/>
                <w:szCs w:val="14"/>
                <w:color w:val="auto"/>
              </w:rPr>
              <w:t>Total billings</w:t>
            </w:r>
          </w:p>
        </w:tc>
        <w:tc>
          <w:tcPr>
            <w:tcW w:w="860" w:type="dxa"/>
            <w:vAlign w:val="bottom"/>
          </w:tcPr>
          <w:p>
            <w:pPr>
              <w:jc w:val="right"/>
              <w:ind w:right="713"/>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235,625</w:t>
            </w:r>
          </w:p>
        </w:tc>
        <w:tc>
          <w:tcPr>
            <w:tcW w:w="980" w:type="dxa"/>
            <w:vAlign w:val="bottom"/>
            <w:gridSpan w:val="3"/>
          </w:tcPr>
          <w:p>
            <w:pPr>
              <w:jc w:val="right"/>
              <w:ind w:right="71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202,786</w:t>
            </w:r>
          </w:p>
        </w:tc>
        <w:tc>
          <w:tcPr>
            <w:tcW w:w="440" w:type="dxa"/>
            <w:vAlign w:val="bottom"/>
            <w:gridSpan w:val="2"/>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444,533</w:t>
            </w:r>
          </w:p>
        </w:tc>
        <w:tc>
          <w:tcPr>
            <w:tcW w:w="460" w:type="dxa"/>
            <w:vAlign w:val="bottom"/>
            <w:gridSpan w:val="2"/>
          </w:tcPr>
          <w:p>
            <w:pPr>
              <w:jc w:val="right"/>
              <w:ind w:right="19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399,673</w:t>
            </w:r>
          </w:p>
        </w:tc>
      </w:tr>
      <w:tr>
        <w:trPr>
          <w:trHeight w:val="26"/>
        </w:trPr>
        <w:tc>
          <w:tcPr>
            <w:tcW w:w="522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110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Financial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Historical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11"/>
              <w:spacing w:after="0"/>
              <w:rPr>
                <w:sz w:val="20"/>
                <w:szCs w:val="20"/>
                <w:color w:val="auto"/>
              </w:rPr>
            </w:pPr>
            <w:r>
              <w:rPr>
                <w:rFonts w:ascii="Arial" w:cs="Arial" w:eastAsia="Arial" w:hAnsi="Arial"/>
                <w:sz w:val="12"/>
                <w:szCs w:val="12"/>
                <w:b w:val="1"/>
                <w:bCs w:val="1"/>
                <w:color w:val="auto"/>
                <w:w w:val="99"/>
              </w:rPr>
              <w:t>6/30/23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11"/>
              <w:spacing w:after="0"/>
              <w:rPr>
                <w:sz w:val="20"/>
                <w:szCs w:val="20"/>
                <w:color w:val="auto"/>
              </w:rPr>
            </w:pPr>
            <w:r>
              <w:rPr>
                <w:rFonts w:ascii="Arial" w:cs="Arial" w:eastAsia="Arial" w:hAnsi="Arial"/>
                <w:sz w:val="12"/>
                <w:szCs w:val="12"/>
                <w:b w:val="1"/>
                <w:bCs w:val="1"/>
                <w:color w:val="auto"/>
              </w:rPr>
              <w:t>3/31/23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91"/>
              <w:spacing w:after="0"/>
              <w:rPr>
                <w:sz w:val="20"/>
                <w:szCs w:val="20"/>
                <w:color w:val="auto"/>
              </w:rPr>
            </w:pPr>
            <w:r>
              <w:rPr>
                <w:rFonts w:ascii="Arial" w:cs="Arial" w:eastAsia="Arial" w:hAnsi="Arial"/>
                <w:sz w:val="12"/>
                <w:szCs w:val="12"/>
                <w:b w:val="1"/>
                <w:bCs w:val="1"/>
                <w:color w:val="auto"/>
                <w:w w:val="94"/>
              </w:rPr>
              <w:t>12/31/22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12"/>
              <w:spacing w:after="0"/>
              <w:rPr>
                <w:sz w:val="20"/>
                <w:szCs w:val="20"/>
                <w:color w:val="auto"/>
              </w:rPr>
            </w:pPr>
            <w:r>
              <w:rPr>
                <w:rFonts w:ascii="Arial" w:cs="Arial" w:eastAsia="Arial" w:hAnsi="Arial"/>
                <w:sz w:val="12"/>
                <w:szCs w:val="12"/>
                <w:b w:val="1"/>
                <w:bCs w:val="1"/>
                <w:color w:val="auto"/>
                <w:w w:val="99"/>
              </w:rPr>
              <w:t>9/30/22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11"/>
              <w:spacing w:after="0"/>
              <w:rPr>
                <w:sz w:val="20"/>
                <w:szCs w:val="20"/>
                <w:color w:val="auto"/>
              </w:rPr>
            </w:pPr>
            <w:r>
              <w:rPr>
                <w:rFonts w:ascii="Arial" w:cs="Arial" w:eastAsia="Arial" w:hAnsi="Arial"/>
                <w:sz w:val="12"/>
                <w:szCs w:val="12"/>
                <w:b w:val="1"/>
                <w:bCs w:val="1"/>
                <w:color w:val="auto"/>
              </w:rPr>
              <w:t>6/30/22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11"/>
              <w:spacing w:after="0"/>
              <w:rPr>
                <w:sz w:val="20"/>
                <w:szCs w:val="20"/>
                <w:color w:val="auto"/>
              </w:rPr>
            </w:pPr>
            <w:r>
              <w:rPr>
                <w:rFonts w:ascii="Arial" w:cs="Arial" w:eastAsia="Arial" w:hAnsi="Arial"/>
                <w:sz w:val="12"/>
                <w:szCs w:val="12"/>
                <w:b w:val="1"/>
                <w:bCs w:val="1"/>
                <w:color w:val="auto"/>
                <w:w w:val="99"/>
              </w:rPr>
              <w:t>3/31/22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91"/>
              <w:spacing w:after="0"/>
              <w:rPr>
                <w:sz w:val="20"/>
                <w:szCs w:val="20"/>
                <w:color w:val="auto"/>
              </w:rPr>
            </w:pPr>
            <w:r>
              <w:rPr>
                <w:rFonts w:ascii="Arial" w:cs="Arial" w:eastAsia="Arial" w:hAnsi="Arial"/>
                <w:sz w:val="12"/>
                <w:szCs w:val="12"/>
                <w:b w:val="1"/>
                <w:bCs w:val="1"/>
                <w:color w:val="auto"/>
                <w:w w:val="98"/>
              </w:rPr>
              <w:t>12/31/21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11"/>
              <w:spacing w:after="0"/>
              <w:rPr>
                <w:sz w:val="20"/>
                <w:szCs w:val="20"/>
                <w:color w:val="auto"/>
              </w:rPr>
            </w:pPr>
            <w:r>
              <w:rPr>
                <w:rFonts w:ascii="Arial" w:cs="Arial" w:eastAsia="Arial" w:hAnsi="Arial"/>
                <w:sz w:val="12"/>
                <w:szCs w:val="12"/>
                <w:b w:val="1"/>
                <w:bCs w:val="1"/>
                <w:color w:val="auto"/>
              </w:rPr>
              <w:t>9/30/21</w:t>
            </w:r>
          </w:p>
        </w:tc>
        <w:tc>
          <w:tcPr>
            <w:tcW w:w="0" w:type="dxa"/>
            <w:vAlign w:val="bottom"/>
          </w:tcPr>
          <w:p>
            <w:pPr>
              <w:spacing w:after="0"/>
              <w:rPr>
                <w:sz w:val="1"/>
                <w:szCs w:val="1"/>
                <w:color w:val="auto"/>
              </w:rPr>
            </w:pPr>
          </w:p>
        </w:tc>
      </w:tr>
      <w:tr>
        <w:trPr>
          <w:trHeight w:val="25"/>
        </w:trPr>
        <w:tc>
          <w:tcPr>
            <w:tcW w:w="4560" w:type="dxa"/>
            <w:vAlign w:val="bottom"/>
            <w:vMerge w:val="restart"/>
          </w:tcPr>
          <w:p>
            <w:pPr>
              <w:ind w:left="20"/>
              <w:spacing w:after="0"/>
              <w:rPr>
                <w:sz w:val="20"/>
                <w:szCs w:val="20"/>
                <w:color w:val="auto"/>
              </w:rPr>
            </w:pPr>
            <w:r>
              <w:rPr>
                <w:rFonts w:ascii="Arial" w:cs="Arial" w:eastAsia="Arial" w:hAnsi="Arial"/>
                <w:sz w:val="16"/>
                <w:szCs w:val="16"/>
                <w:color w:val="auto"/>
              </w:rPr>
              <w:t xml:space="preserve">Subscribers (end of period, in thousands) </w:t>
            </w:r>
            <w:r>
              <w:rPr>
                <w:rFonts w:ascii="Arial" w:cs="Arial" w:eastAsia="Arial" w:hAnsi="Arial"/>
                <w:sz w:val="20"/>
                <w:szCs w:val="20"/>
                <w:color w:val="auto"/>
                <w:vertAlign w:val="superscript"/>
              </w:rPr>
              <w:t>(1)</w:t>
            </w: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45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Subscriber revenue (in millions) </w:t>
            </w:r>
            <w:r>
              <w:rPr>
                <w:rFonts w:ascii="Arial" w:cs="Arial" w:eastAsia="Arial" w:hAnsi="Arial"/>
                <w:sz w:val="20"/>
                <w:szCs w:val="20"/>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92"/>
        </w:trPr>
        <w:tc>
          <w:tcPr>
            <w:tcW w:w="4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Average revenue per customer (last twelve months) </w:t>
            </w:r>
            <w:r>
              <w:rPr>
                <w:rFonts w:ascii="Arial" w:cs="Arial" w:eastAsia="Arial" w:hAnsi="Arial"/>
                <w:sz w:val="20"/>
                <w:szCs w:val="20"/>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11"/>
        </w:trPr>
        <w:tc>
          <w:tcPr>
            <w:tcW w:w="45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Paid downloads (in millions) </w:t>
            </w:r>
            <w:r>
              <w:rPr>
                <w:rFonts w:ascii="Arial" w:cs="Arial" w:eastAsia="Arial" w:hAnsi="Arial"/>
                <w:sz w:val="20"/>
                <w:szCs w:val="20"/>
                <w:color w:val="auto"/>
                <w:vertAlign w:val="superscript"/>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11"/>
        </w:trPr>
        <w:tc>
          <w:tcPr>
            <w:tcW w:w="4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Revenue per download </w:t>
            </w:r>
            <w:r>
              <w:rPr>
                <w:rFonts w:ascii="Arial" w:cs="Arial" w:eastAsia="Arial" w:hAnsi="Arial"/>
                <w:sz w:val="20"/>
                <w:szCs w:val="20"/>
                <w:color w:val="auto"/>
                <w:vertAlign w:val="superscript"/>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11"/>
        </w:trPr>
        <w:tc>
          <w:tcPr>
            <w:tcW w:w="456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Content in our collection (end of period, in millions): </w:t>
            </w:r>
            <w:r>
              <w:rPr>
                <w:rFonts w:ascii="Arial" w:cs="Arial" w:eastAsia="Arial" w:hAnsi="Arial"/>
                <w:sz w:val="20"/>
                <w:szCs w:val="20"/>
                <w:color w:val="auto"/>
                <w:vertAlign w:val="superscript"/>
              </w:rPr>
              <w:t>(6)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Images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204"/>
        </w:trPr>
        <w:tc>
          <w:tcPr>
            <w:tcW w:w="4560" w:type="dxa"/>
            <w:vAlign w:val="bottom"/>
          </w:tcPr>
          <w:p>
            <w:pPr>
              <w:ind w:left="140"/>
              <w:spacing w:after="0"/>
              <w:rPr>
                <w:sz w:val="20"/>
                <w:szCs w:val="20"/>
                <w:color w:val="auto"/>
              </w:rPr>
            </w:pPr>
            <w:r>
              <w:rPr>
                <w:rFonts w:ascii="Arial" w:cs="Arial" w:eastAsia="Arial" w:hAnsi="Arial"/>
                <w:sz w:val="16"/>
                <w:szCs w:val="16"/>
                <w:color w:val="auto"/>
              </w:rPr>
              <w:t>Footage clips</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00"/>
        <w:spacing w:after="0" w:line="266" w:lineRule="auto"/>
        <w:rPr>
          <w:sz w:val="20"/>
          <w:szCs w:val="20"/>
          <w:color w:val="auto"/>
        </w:rPr>
      </w:pPr>
      <w:r>
        <w:rPr>
          <w:rFonts w:ascii="Arial" w:cs="Arial" w:eastAsia="Arial" w:hAnsi="Arial"/>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81" w:lineRule="exact"/>
        <w:rPr>
          <w:sz w:val="20"/>
          <w:szCs w:val="20"/>
          <w:color w:val="auto"/>
        </w:rPr>
      </w:pPr>
    </w:p>
    <w:p>
      <w:pPr>
        <w:ind w:left="180" w:hanging="175"/>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25" w:lineRule="exact"/>
        <w:rPr>
          <w:rFonts w:ascii="Arial" w:cs="Arial" w:eastAsia="Arial" w:hAnsi="Arial"/>
          <w:sz w:val="12"/>
          <w:szCs w:val="12"/>
          <w:color w:val="auto"/>
        </w:rPr>
      </w:pPr>
    </w:p>
    <w:p>
      <w:pPr>
        <w:ind w:left="180" w:hanging="175"/>
        <w:spacing w:after="0"/>
        <w:tabs>
          <w:tab w:leader="none" w:pos="1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Subscriber revenue is defined as the revenue generated from subscribers during the period.</w:t>
      </w:r>
    </w:p>
    <w:p>
      <w:pPr>
        <w:spacing w:after="0" w:line="112" w:lineRule="exact"/>
        <w:rPr>
          <w:rFonts w:ascii="Arial" w:cs="Arial" w:eastAsia="Arial" w:hAnsi="Arial"/>
          <w:sz w:val="12"/>
          <w:szCs w:val="12"/>
          <w:color w:val="auto"/>
        </w:rPr>
      </w:pPr>
    </w:p>
    <w:p>
      <w:pPr>
        <w:ind w:right="20" w:firstLine="5"/>
        <w:spacing w:after="0" w:line="282" w:lineRule="auto"/>
        <w:tabs>
          <w:tab w:leader="none" w:pos="167" w:val="left"/>
        </w:tabs>
        <w:numPr>
          <w:ilvl w:val="0"/>
          <w:numId w:val="11"/>
        </w:numPr>
        <w:rPr>
          <w:rFonts w:ascii="Arial" w:cs="Arial" w:eastAsia="Arial" w:hAnsi="Arial"/>
          <w:sz w:val="12"/>
          <w:szCs w:val="12"/>
          <w:color w:val="auto"/>
        </w:rPr>
      </w:pPr>
      <w:r>
        <w:rPr>
          <w:rFonts w:ascii="Arial" w:cs="Arial" w:eastAsia="Arial" w:hAnsi="Arial"/>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70" w:lineRule="exact"/>
        <w:rPr>
          <w:rFonts w:ascii="Arial" w:cs="Arial" w:eastAsia="Arial" w:hAnsi="Arial"/>
          <w:sz w:val="12"/>
          <w:szCs w:val="12"/>
          <w:color w:val="auto"/>
        </w:rPr>
      </w:pPr>
    </w:p>
    <w:p>
      <w:pPr>
        <w:ind w:right="20" w:firstLine="5"/>
        <w:spacing w:after="0" w:line="282" w:lineRule="auto"/>
        <w:tabs>
          <w:tab w:leader="none" w:pos="1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w:t>
      </w:r>
    </w:p>
    <w:p>
      <w:pPr>
        <w:spacing w:after="0" w:line="70" w:lineRule="exact"/>
        <w:rPr>
          <w:rFonts w:ascii="Arial" w:cs="Arial" w:eastAsia="Arial" w:hAnsi="Arial"/>
          <w:sz w:val="12"/>
          <w:szCs w:val="12"/>
          <w:color w:val="auto"/>
        </w:rPr>
      </w:pPr>
    </w:p>
    <w:p>
      <w:pPr>
        <w:ind w:right="480" w:firstLine="5"/>
        <w:spacing w:after="0" w:line="304" w:lineRule="auto"/>
        <w:tabs>
          <w:tab w:leader="none" w:pos="1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Revenue per download is the amount of revenue recognized in a given period divided by the number of paid downloads in that period excluding revenue from our Studios business, revenue that is not derived from or associated with content licenses and revenue associated with our computer vision offering.</w:t>
      </w:r>
    </w:p>
    <w:p>
      <w:pPr>
        <w:spacing w:after="0" w:line="58" w:lineRule="exact"/>
        <w:rPr>
          <w:rFonts w:ascii="Arial" w:cs="Arial" w:eastAsia="Arial" w:hAnsi="Arial"/>
          <w:sz w:val="12"/>
          <w:szCs w:val="12"/>
          <w:color w:val="auto"/>
        </w:rPr>
      </w:pPr>
    </w:p>
    <w:p>
      <w:pPr>
        <w:jc w:val="both"/>
        <w:ind w:right="20" w:firstLine="5"/>
        <w:spacing w:after="0" w:line="266" w:lineRule="auto"/>
        <w:tabs>
          <w:tab w:leader="none" w:pos="174"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Content in our collection represents approved images (photographs, vectors and illustrations) and footage (in number of clips) in our library at the end of the period. This metric excludes content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4"/>
          </w:tcPr>
          <w:p>
            <w:pPr>
              <w:jc w:val="right"/>
              <w:ind w:right="171"/>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6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w w:val="99"/>
              </w:rPr>
              <w:t>6/30/23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3/31/23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w w:val="98"/>
              </w:rPr>
              <w:t>12/31/22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w w:val="99"/>
              </w:rPr>
              <w:t>9/30/22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6/30/22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9"/>
              </w:rPr>
              <w:t>3/31/22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2"/>
                <w:szCs w:val="12"/>
                <w:b w:val="1"/>
                <w:bCs w:val="1"/>
                <w:color w:val="auto"/>
                <w:w w:val="98"/>
              </w:rPr>
              <w:t>12/31/21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9/30/21</w:t>
            </w:r>
          </w:p>
        </w:tc>
        <w:tc>
          <w:tcPr>
            <w:tcW w:w="0" w:type="dxa"/>
            <w:vAlign w:val="bottom"/>
          </w:tcPr>
          <w:p>
            <w:pPr>
              <w:spacing w:after="0"/>
              <w:rPr>
                <w:sz w:val="1"/>
                <w:szCs w:val="1"/>
                <w:color w:val="auto"/>
              </w:rPr>
            </w:pPr>
          </w:p>
        </w:tc>
      </w:tr>
      <w:tr>
        <w:trPr>
          <w:trHeight w:val="273"/>
        </w:trPr>
        <w:tc>
          <w:tcPr>
            <w:tcW w:w="45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306</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156</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14"/>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07"/>
        </w:trPr>
        <w:tc>
          <w:tcPr>
            <w:tcW w:w="4560" w:type="dxa"/>
            <w:vAlign w:val="bottom"/>
          </w:tcPr>
          <w:p>
            <w:pPr>
              <w:ind w:left="2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201"/>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6,479</w:t>
            </w:r>
          </w:p>
        </w:tc>
        <w:tc>
          <w:tcPr>
            <w:tcW w:w="0" w:type="dxa"/>
            <w:vAlign w:val="bottom"/>
          </w:tcPr>
          <w:p>
            <w:pPr>
              <w:spacing w:after="0"/>
              <w:rPr>
                <w:sz w:val="1"/>
                <w:szCs w:val="1"/>
                <w:color w:val="auto"/>
              </w:rPr>
            </w:pPr>
          </w:p>
        </w:tc>
      </w:tr>
      <w:tr>
        <w:trPr>
          <w:trHeight w:val="191"/>
        </w:trPr>
        <w:tc>
          <w:tcPr>
            <w:tcW w:w="4560" w:type="dxa"/>
            <w:vAlign w:val="bottom"/>
          </w:tcPr>
          <w:p>
            <w:pPr>
              <w:ind w:left="240"/>
              <w:spacing w:after="0"/>
              <w:rPr>
                <w:sz w:val="20"/>
                <w:szCs w:val="20"/>
                <w:color w:val="auto"/>
              </w:rPr>
            </w:pPr>
            <w:r>
              <w:rPr>
                <w:rFonts w:ascii="Arial" w:cs="Arial" w:eastAsia="Arial" w:hAnsi="Arial"/>
                <w:sz w:val="16"/>
                <w:szCs w:val="16"/>
                <w:color w:val="auto"/>
              </w:rPr>
              <w:t>Total non-cash equity-based compensation</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14,943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8,643</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11,783</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9,088</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7,043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7,826</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8,743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by expense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right"/>
              <w:ind w:right="172"/>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in thousands)</w:t>
            </w: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54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w w:val="99"/>
              </w:rPr>
              <w:t>6/30/23</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3/31/23</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2"/>
                <w:szCs w:val="12"/>
                <w:b w:val="1"/>
                <w:bCs w:val="1"/>
                <w:color w:val="auto"/>
                <w:w w:val="98"/>
              </w:rPr>
              <w:t>12/31/22</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2"/>
                <w:szCs w:val="12"/>
                <w:b w:val="1"/>
                <w:bCs w:val="1"/>
                <w:color w:val="auto"/>
              </w:rPr>
              <w:t>9/30/22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w w:val="99"/>
              </w:rPr>
              <w:t>6/30/22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3/31/22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2"/>
                <w:szCs w:val="12"/>
                <w:b w:val="1"/>
                <w:bCs w:val="1"/>
                <w:color w:val="auto"/>
                <w:w w:val="98"/>
              </w:rPr>
              <w:t>12/31/21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b w:val="1"/>
                <w:bCs w:val="1"/>
                <w:color w:val="auto"/>
              </w:rPr>
              <w:t>9/30/21</w:t>
            </w:r>
          </w:p>
        </w:tc>
        <w:tc>
          <w:tcPr>
            <w:tcW w:w="0" w:type="dxa"/>
            <w:vAlign w:val="bottom"/>
          </w:tcPr>
          <w:p>
            <w:pPr>
              <w:spacing w:after="0"/>
              <w:rPr>
                <w:sz w:val="1"/>
                <w:szCs w:val="1"/>
                <w:color w:val="auto"/>
              </w:rPr>
            </w:pPr>
          </w:p>
        </w:tc>
      </w:tr>
      <w:tr>
        <w:trPr>
          <w:trHeight w:val="273"/>
        </w:trPr>
        <w:tc>
          <w:tcPr>
            <w:tcW w:w="45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18,134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17,866</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17,341</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16,856</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15,172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13,759</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13,682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11,343</w:t>
            </w:r>
          </w:p>
        </w:tc>
        <w:tc>
          <w:tcPr>
            <w:tcW w:w="0" w:type="dxa"/>
            <w:vAlign w:val="bottom"/>
          </w:tcPr>
          <w:p>
            <w:pPr>
              <w:spacing w:after="0"/>
              <w:rPr>
                <w:sz w:val="1"/>
                <w:szCs w:val="1"/>
                <w:color w:val="auto"/>
              </w:rPr>
            </w:pPr>
          </w:p>
        </w:tc>
      </w:tr>
      <w:tr>
        <w:trPr>
          <w:trHeight w:val="201"/>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1,031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91"/>
        </w:trPr>
        <w:tc>
          <w:tcPr>
            <w:tcW w:w="4540" w:type="dxa"/>
            <w:vAlign w:val="bottom"/>
          </w:tcPr>
          <w:p>
            <w:pPr>
              <w:ind w:left="240"/>
              <w:spacing w:after="0"/>
              <w:rPr>
                <w:sz w:val="20"/>
                <w:szCs w:val="20"/>
                <w:color w:val="auto"/>
              </w:rPr>
            </w:pPr>
            <w:r>
              <w:rPr>
                <w:rFonts w:ascii="Arial" w:cs="Arial" w:eastAsia="Arial" w:hAnsi="Arial"/>
                <w:sz w:val="16"/>
                <w:szCs w:val="16"/>
                <w:color w:val="auto"/>
              </w:rPr>
              <w:t>Total depreciation and amortization</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19,204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18,897</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18,636</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18,260</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16,510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15,064</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15,040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13,489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0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4"/>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2023-08-01T06:18:21Z</dcterms:created>
  <dcterms:modified xsi:type="dcterms:W3CDTF">2023-08-01T06:18:21Z</dcterms:modified>
</cp:coreProperties>
</file>