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Jarrod Yahes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Shutterstock,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350 Fifth Avenue,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 , NY 10118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Shutterstock,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13,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001-35669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Yahes: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Summary of Operations and Significant Accounting Policies Revenue Recognition , page F-12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that it is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policy to estimate expected unused licenses for subscription-based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and recognize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revenue associated with unused licenses throughout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period.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towards clarifying disclosure, please explain to us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pattern of revenue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for the breakage amount and tell us how this results in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being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recognized in proportion to the pattern of exercised rights. Also tell us how you determine the value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unused licenses and whether or not this value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impacts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royalties paid to content contributors.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Equity-Based Compensation, page F-14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it is appropriate to continue to use the simplified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Jarrod Yahes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Shutterstock,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to estimate the expected term of your option awards. Please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tell us when you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sufficient historical information to be available in order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the expected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 assumptions. Refer to SAB Topic 14:D.2.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6. Goodwill and Intangible Assets, page F-20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goodwill balance was previously allocated to four reporting units: Bigstock,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Editorial, Images and Music. Please explain in greater detail the specific changes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reporting structure and "the way management monitors the business, as well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key milestones achieved in the continued integration of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operations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platform," which resulted in management's determination it had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 rather than four. In particular, your response should focus on the significant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processes prior to and after your restructuring. Please also address paragraphs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 to 46 of ASC 350-20-35 in explaining how you concluded that you only have one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unit for goodwill impairment purposes.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Robert S. Littlepage, Accountant Branch Chief, at (202) 551-3361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LastNameJarrod Yahes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NameShutterstock, Inc.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2021-08-15T20:31:47Z</dcterms:created>
  <dcterms:modified xsi:type="dcterms:W3CDTF">2021-08-15T20:31:47Z</dcterms:modified>
</cp:coreProperties>
</file>