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6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4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80-0812659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Jonathan Oringer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Shutterstock, Inc.</w:t>
      </w:r>
    </w:p>
    <w:p>
      <w:pPr>
        <w:jc w:val="center"/>
        <w:ind w:right="-79"/>
        <w:spacing w:after="0" w:line="205" w:lineRule="auto"/>
        <w:rPr>
          <w:sz w:val="20"/>
          <w:szCs w:val="20"/>
          <w:color w:val="auto"/>
        </w:rPr>
      </w:pPr>
      <w:r>
        <w:rPr>
          <w:rFonts w:ascii="Arial" w:cs="Arial" w:eastAsia="Arial" w:hAnsi="Arial"/>
          <w:sz w:val="18"/>
          <w:szCs w:val="18"/>
          <w:b w:val="1"/>
          <w:bCs w:val="1"/>
          <w:color w:val="auto"/>
        </w:rPr>
        <w:t>350 Fifth Avenue, 21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NY 10118</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(646) 419-4452</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80" w:firstLine="324"/>
        <w:spacing w:after="0" w:line="264"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0" w:gutter="0" w:footer="0" w:header="0"/>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the number of shares outstanding of each of the issuer’s classes of stock, as of the latest practicable date.</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 at May 7, 2014</w:t>
            </w:r>
          </w:p>
        </w:tc>
        <w:tc>
          <w:tcPr>
            <w:tcW w:w="40" w:type="dxa"/>
            <w:vAlign w:val="bottom"/>
          </w:tcPr>
          <w:p>
            <w:pPr>
              <w:spacing w:after="0"/>
              <w:rPr>
                <w:sz w:val="14"/>
                <w:szCs w:val="14"/>
                <w:color w:val="auto"/>
              </w:rPr>
            </w:pP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2319"/>
              <w:spacing w:after="0"/>
              <w:rPr>
                <w:sz w:val="20"/>
                <w:szCs w:val="20"/>
                <w:color w:val="auto"/>
              </w:rPr>
            </w:pPr>
            <w:r>
              <w:rPr>
                <w:rFonts w:ascii="Arial" w:cs="Arial" w:eastAsia="Arial" w:hAnsi="Arial"/>
                <w:sz w:val="18"/>
                <w:szCs w:val="18"/>
                <w:b w:val="1"/>
                <w:bCs w:val="1"/>
                <w:color w:val="auto"/>
              </w:rPr>
              <w:t>35,197,284</w:t>
            </w:r>
          </w:p>
        </w:tc>
        <w:tc>
          <w:tcPr>
            <w:tcW w:w="40" w:type="dxa"/>
            <w:vAlign w:val="bottom"/>
          </w:tcPr>
          <w:p>
            <w:pPr>
              <w:spacing w:after="0"/>
              <w:rPr>
                <w:sz w:val="19"/>
                <w:szCs w:val="19"/>
                <w:color w:val="auto"/>
              </w:rPr>
            </w:pPr>
          </w:p>
        </w:tc>
      </w:tr>
      <w:tr>
        <w:trPr>
          <w:trHeight w:val="198"/>
        </w:trPr>
        <w:tc>
          <w:tcPr>
            <w:tcW w:w="5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5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 No.</w:t>
            </w:r>
          </w:p>
        </w:tc>
      </w:tr>
      <w:tr>
        <w:trPr>
          <w:trHeight w:val="385"/>
        </w:trPr>
        <w:tc>
          <w:tcPr>
            <w:tcW w:w="10540" w:type="dxa"/>
            <w:vAlign w:val="bottom"/>
            <w:gridSpan w:val="2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900" w:type="dxa"/>
            <w:vAlign w:val="bottom"/>
            <w:tcBorders>
              <w:top w:val="single" w:sz="8" w:color="0000EE"/>
            </w:tcBorders>
            <w:gridSpan w:val="5"/>
          </w:tcPr>
          <w:p>
            <w:pPr>
              <w:spacing w:after="0"/>
              <w:rPr>
                <w:sz w:val="24"/>
                <w:szCs w:val="24"/>
                <w:color w:val="auto"/>
              </w:rPr>
            </w:pPr>
          </w:p>
        </w:tc>
        <w:tc>
          <w:tcPr>
            <w:tcW w:w="1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60" w:type="dxa"/>
            <w:vAlign w:val="bottom"/>
            <w:tcBorders>
              <w:top w:val="single" w:sz="8" w:color="0000EE"/>
            </w:tcBorders>
          </w:tcPr>
          <w:p>
            <w:pPr>
              <w:spacing w:after="0"/>
              <w:rPr>
                <w:sz w:val="24"/>
                <w:szCs w:val="24"/>
                <w:color w:val="auto"/>
              </w:rPr>
            </w:pPr>
          </w:p>
        </w:tc>
        <w:tc>
          <w:tcPr>
            <w:tcW w:w="7460" w:type="dxa"/>
            <w:vAlign w:val="bottom"/>
            <w:gridSpan w:val="11"/>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2014 (unaudited) and December 31, 2013</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 Consolidated Statements of Operations for the Three Months Ended March 31, 2014 and March 31, 2013</w:t>
              </w:r>
            </w:hyperlink>
          </w:p>
        </w:tc>
        <w:tc>
          <w:tcPr>
            <w:tcW w:w="740" w:type="dxa"/>
            <w:vAlign w:val="bottom"/>
            <w:gridSpan w:val="3"/>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20" w:type="dxa"/>
            <w:vAlign w:val="bottom"/>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Consolidated Statements of Comprehensive Income for the Three Months Ended March 31, 2014 and March 31,</w:t>
              </w:r>
            </w:hyperlink>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2013</w:t>
              </w:r>
            </w:hyperlink>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20" w:type="dxa"/>
            <w:vAlign w:val="bottom"/>
            <w:gridSpan w:val="19"/>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Unaudited Consolidated Statements of Cash Flows for the Three Months Ended March 31, 2014 and March 31, 2013</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Consolidated Financial Statements</w:t>
              </w:r>
            </w:hyperlink>
          </w:p>
        </w:tc>
        <w:tc>
          <w:tcPr>
            <w:tcW w:w="4480" w:type="dxa"/>
            <w:vAlign w:val="bottom"/>
            <w:tcBorders>
              <w:top w:val="single" w:sz="8" w:color="0000EE"/>
            </w:tcBorders>
            <w:gridSpan w:val="6"/>
          </w:tcPr>
          <w:p>
            <w:pPr>
              <w:spacing w:after="0"/>
              <w:rPr>
                <w:sz w:val="17"/>
                <w:szCs w:val="17"/>
                <w:color w:val="auto"/>
              </w:rPr>
            </w:pPr>
          </w:p>
        </w:tc>
        <w:tc>
          <w:tcPr>
            <w:tcW w:w="700" w:type="dxa"/>
            <w:vAlign w:val="bottom"/>
            <w:gridSpan w:val="2"/>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880" w:type="dxa"/>
            <w:vAlign w:val="bottom"/>
            <w:gridSpan w:val="4"/>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880" w:type="dxa"/>
            <w:vAlign w:val="bottom"/>
            <w:gridSpan w:val="4"/>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4760" w:type="dxa"/>
            <w:vAlign w:val="bottom"/>
            <w:gridSpan w:val="6"/>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31</w:t>
            </w: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900" w:type="dxa"/>
            <w:vAlign w:val="bottom"/>
            <w:gridSpan w:val="5"/>
          </w:tcPr>
          <w:p>
            <w:pPr>
              <w:spacing w:after="0"/>
              <w:rPr>
                <w:sz w:val="17"/>
                <w:szCs w:val="17"/>
                <w:color w:val="auto"/>
              </w:rPr>
            </w:pPr>
          </w:p>
        </w:tc>
        <w:tc>
          <w:tcPr>
            <w:tcW w:w="912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r>
      <w:tr>
        <w:trPr>
          <w:trHeight w:val="20"/>
        </w:trPr>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540" w:type="dxa"/>
            <w:vAlign w:val="bottom"/>
            <w:gridSpan w:val="2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1.</w:t>
              </w:r>
            </w:hyperlink>
          </w:p>
        </w:tc>
        <w:tc>
          <w:tcPr>
            <w:tcW w:w="880" w:type="dxa"/>
            <w:vAlign w:val="bottom"/>
            <w:tcBorders>
              <w:top w:val="single" w:sz="8" w:color="0000EE"/>
            </w:tcBorders>
            <w:gridSpan w:val="4"/>
          </w:tcPr>
          <w:p>
            <w:pPr>
              <w:spacing w:after="0"/>
              <w:rPr>
                <w:sz w:val="24"/>
                <w:szCs w:val="24"/>
                <w:color w:val="auto"/>
              </w:rPr>
            </w:pPr>
          </w:p>
        </w:tc>
        <w:tc>
          <w:tcPr>
            <w:tcW w:w="1360" w:type="dxa"/>
            <w:vAlign w:val="bottom"/>
            <w:tcBorders>
              <w:top w:val="single" w:sz="8" w:color="0000EE"/>
            </w:tcBorders>
            <w:gridSpan w:val="6"/>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Legal Proceedings</w:t>
              </w:r>
            </w:hyperlink>
          </w:p>
        </w:tc>
        <w:tc>
          <w:tcPr>
            <w:tcW w:w="7760" w:type="dxa"/>
            <w:vAlign w:val="bottom"/>
            <w:gridSpan w:val="13"/>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0"/>
        </w:trPr>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420" w:type="dxa"/>
            <w:vAlign w:val="bottom"/>
            <w:gridSpan w:val="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912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20"/>
        </w:trPr>
        <w:tc>
          <w:tcPr>
            <w:tcW w:w="3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12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36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4780" w:type="dxa"/>
            <w:vAlign w:val="bottom"/>
            <w:gridSpan w:val="7"/>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4.</w:t>
              </w:r>
            </w:hyperlink>
          </w:p>
        </w:tc>
        <w:tc>
          <w:tcPr>
            <w:tcW w:w="880" w:type="dxa"/>
            <w:vAlign w:val="bottom"/>
            <w:gridSpan w:val="4"/>
          </w:tcPr>
          <w:p>
            <w:pPr>
              <w:spacing w:after="0"/>
              <w:rPr>
                <w:sz w:val="17"/>
                <w:szCs w:val="17"/>
                <w:color w:val="auto"/>
              </w:rPr>
            </w:pPr>
          </w:p>
        </w:tc>
        <w:tc>
          <w:tcPr>
            <w:tcW w:w="912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196"/>
        </w:trPr>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5.</w:t>
              </w:r>
            </w:hyperlink>
          </w:p>
        </w:tc>
        <w:tc>
          <w:tcPr>
            <w:tcW w:w="880" w:type="dxa"/>
            <w:vAlign w:val="bottom"/>
            <w:gridSpan w:val="4"/>
          </w:tcPr>
          <w:p>
            <w:pPr>
              <w:spacing w:after="0"/>
              <w:rPr>
                <w:sz w:val="17"/>
                <w:szCs w:val="17"/>
                <w:color w:val="auto"/>
              </w:rPr>
            </w:pP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7360" w:type="dxa"/>
            <w:vAlign w:val="bottom"/>
            <w:gridSpan w:val="10"/>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196"/>
        </w:trPr>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6.</w:t>
              </w:r>
            </w:hyperlink>
          </w:p>
        </w:tc>
        <w:tc>
          <w:tcPr>
            <w:tcW w:w="880" w:type="dxa"/>
            <w:vAlign w:val="bottom"/>
            <w:gridSpan w:val="4"/>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7"/>
                <w:szCs w:val="17"/>
                <w:color w:val="auto"/>
              </w:rPr>
            </w:pPr>
          </w:p>
        </w:tc>
        <w:tc>
          <w:tcPr>
            <w:tcW w:w="7800" w:type="dxa"/>
            <w:vAlign w:val="bottom"/>
            <w:gridSpan w:val="14"/>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412"/>
        </w:trPr>
        <w:tc>
          <w:tcPr>
            <w:tcW w:w="380" w:type="dxa"/>
            <w:vAlign w:val="bottom"/>
          </w:tcPr>
          <w:p>
            <w:pPr>
              <w:spacing w:after="0"/>
              <w:rPr>
                <w:sz w:val="24"/>
                <w:szCs w:val="24"/>
                <w:color w:val="auto"/>
              </w:rPr>
            </w:pPr>
          </w:p>
        </w:tc>
        <w:tc>
          <w:tcPr>
            <w:tcW w:w="104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3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9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Exhibit Index</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453"/>
        </w:trPr>
        <w:tc>
          <w:tcPr>
            <w:tcW w:w="38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Arial" w:cs="Arial" w:eastAsia="Arial" w:hAnsi="Arial"/>
                <w:sz w:val="18"/>
                <w:szCs w:val="18"/>
                <w:color w:val="auto"/>
                <w:w w:val="98"/>
              </w:rPr>
              <w:t>Certifications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This report contains forward-looking statements. These forward-looking statements can be identified by the use of forward-looking terminology such as “believe,” “may,” “estimate,” “continue,” “anticipate,” “intend,” “expect,” “predict,” “potential”, project,” “guidance,” “target,” “forecast” or comparable terms.</w:t>
      </w:r>
    </w:p>
    <w:p>
      <w:pPr>
        <w:spacing w:after="0" w:line="18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as a result of certain factors, as more fully described in Part II, Item 1A (Risk Factors) of this Quarterly Report on Form 10-Q and in the reports and documents filed from time to time by us with the Securities and Exchange Commission (the “SEC”).</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Forward-looking statements speak only as of the date of this Quarterly Report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Shutterstock’s corporate website is located at </w:t>
      </w:r>
      <w:r>
        <w:rPr>
          <w:rFonts w:ascii="Arial" w:cs="Arial" w:eastAsia="Arial" w:hAnsi="Arial"/>
          <w:sz w:val="16"/>
          <w:szCs w:val="16"/>
          <w:i w:val="1"/>
          <w:iCs w:val="1"/>
          <w:color w:val="auto"/>
        </w:rPr>
        <w:t>www.shutterstock.com</w:t>
      </w:r>
      <w:r>
        <w:rPr>
          <w:rFonts w:ascii="Arial" w:cs="Arial" w:eastAsia="Arial" w:hAnsi="Arial"/>
          <w:sz w:val="16"/>
          <w:szCs w:val="16"/>
          <w:color w:val="auto"/>
        </w:rPr>
        <w:t>. Shutterstock makes available free of charge, on our corporate website, our annual, quarterly and current reports, and any amendments to those reports, as soon as reasonably practicable after electronically filing such reports with, or furnishing to, the SEC. Information contained on Shutterstock’s corporate website is not part of this report or any other report filed with the SEC.</w:t>
      </w:r>
    </w:p>
    <w:p>
      <w:pPr>
        <w:spacing w:after="0" w:line="14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“Shutterstock,” “the Company,” “we,” “our” and “us” refer to Shutterstock, Inc. and its subsidiaries.</w:t>
      </w:r>
    </w:p>
    <w:p>
      <w:pPr>
        <w:sectPr>
          <w:pgSz w:w="11900" w:h="16876" w:orient="portrait"/>
          <w:cols w:equalWidth="0" w:num="1">
            <w:col w:w="11460"/>
          </w:cols>
          <w:pgMar w:left="240" w:top="118" w:right="199" w:bottom="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76" w:orient="portrait"/>
          <w:cols w:equalWidth="0" w:num="1">
            <w:col w:w="11460"/>
          </w:cols>
          <w:pgMar w:left="240" w:top="118" w:right="199" w:bottom="0" w:gutter="0" w:footer="0" w:header="0"/>
          <w:type w:val="continuous"/>
        </w:sectPr>
      </w:pPr>
    </w:p>
    <w:bookmarkStart w:id="2" w:name="page3"/>
    <w:bookmarkEnd w:id="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20" w:type="dxa"/>
            <w:vAlign w:val="bottom"/>
          </w:tcPr>
          <w:p>
            <w:pPr>
              <w:spacing w:after="0"/>
              <w:rPr>
                <w:sz w:val="24"/>
                <w:szCs w:val="24"/>
                <w:color w:val="auto"/>
              </w:rPr>
            </w:pPr>
          </w:p>
        </w:tc>
        <w:tc>
          <w:tcPr>
            <w:tcW w:w="7160" w:type="dxa"/>
            <w:vAlign w:val="bottom"/>
          </w:tcPr>
          <w:p>
            <w:pPr>
              <w:jc w:val="center"/>
              <w:ind w:left="2350"/>
              <w:spacing w:after="0"/>
              <w:rPr>
                <w:sz w:val="20"/>
                <w:szCs w:val="20"/>
                <w:color w:val="auto"/>
              </w:rPr>
            </w:pPr>
            <w:r>
              <w:rPr>
                <w:rFonts w:ascii="Arial" w:cs="Arial" w:eastAsia="Arial" w:hAnsi="Arial"/>
                <w:sz w:val="18"/>
                <w:szCs w:val="18"/>
                <w:b w:val="1"/>
                <w:bCs w:val="1"/>
                <w:color w:val="auto"/>
                <w:w w:val="90"/>
              </w:rPr>
              <w:t>Shutterstock,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7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2"/>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157,978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155,355</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54,994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Credit card receivables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8,143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19,809</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3,948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250,547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25,798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20,256</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10,186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13,417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10,720</w:t>
            </w: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5,446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18,999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23,638</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Contributor royalties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10,942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60,855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52,100</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9,552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107,639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1"/>
              </w:rPr>
              <w:t>Common stock, $0.01 par value; 200,000 shares authorized; 35,196 and 35,071 shares outstanding as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540"/>
              <w:spacing w:after="0"/>
              <w:rPr>
                <w:sz w:val="20"/>
                <w:szCs w:val="20"/>
                <w:color w:val="auto"/>
              </w:rPr>
            </w:pPr>
            <w:r>
              <w:rPr>
                <w:rFonts w:ascii="Arial" w:cs="Arial" w:eastAsia="Arial" w:hAnsi="Arial"/>
                <w:sz w:val="18"/>
                <w:szCs w:val="18"/>
                <w:color w:val="auto"/>
              </w:rPr>
              <w:t>March 31, 2014 and December 31, 2013,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139,035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127,443</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54,796</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199,121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306,760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72,777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29,108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3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19,276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7,777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0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63,678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4,202</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interest distributed</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Undistributed earnings to participating stockholder/members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stockholders/members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basic share available to common stockholders/members: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Distributed</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4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 per diluted share available to common stockholders/members: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Undistributed</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35,027,480</w:t>
            </w:r>
          </w:p>
        </w:tc>
        <w:tc>
          <w:tcPr>
            <w:tcW w:w="3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33,398,797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35,838,853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33,851,843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gain</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 on investments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jc w:val="center"/>
              <w:ind w:left="3570"/>
              <w:spacing w:after="0"/>
              <w:rPr>
                <w:sz w:val="20"/>
                <w:szCs w:val="20"/>
                <w:color w:val="auto"/>
              </w:rPr>
            </w:pPr>
            <w:r>
              <w:rPr>
                <w:rFonts w:ascii="Arial" w:cs="Arial" w:eastAsia="Arial" w:hAnsi="Arial"/>
                <w:sz w:val="18"/>
                <w:szCs w:val="18"/>
                <w:color w:val="auto"/>
                <w:w w:val="99"/>
              </w:rPr>
              <w:t>6</w:t>
            </w: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4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8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Shutterstock, Inc.</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80" w:type="dxa"/>
            <w:vAlign w:val="bottom"/>
          </w:tcPr>
          <w:p>
            <w:pPr>
              <w:jc w:val="center"/>
              <w:ind w:left="22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8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(In thousands)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8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(unaudited)</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65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4,918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1,551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Write-off of property and equipment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equity-based compensation</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the exercise of stock options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(6,345)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Bad debt reserve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Chargeback reserve and sales refund reserve</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fees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Credit card receivables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(2,124)</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and non-current assets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liabilities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2,221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Contributors royalties payable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15,629</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-4411345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-4411345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(10,881)</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investments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(70,492)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Sale and maturities of investments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69,935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business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Security deposit payment</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Excess tax benefit from the exercise of stock options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6,345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term loan</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Payment of offering fees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Effect of foreign exchange rates changes on cash</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and cash equivalents—Beginning</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155,355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102,096</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equivalents—Ending</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Information:</w:t>
            </w:r>
          </w:p>
        </w:tc>
        <w:tc>
          <w:tcPr>
            <w:tcW w:w="1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in accounts payable and other liabilities</w:t>
            </w:r>
          </w:p>
        </w:tc>
        <w:tc>
          <w:tcPr>
            <w:tcW w:w="1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Shutterstock, Inc. (the “Company” or “Shutterstock”)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The Company licenses commercial digital imagery to its customers. Contributors upload their digital imagery to the Company’s website in exchange for a royalty payment based on customer download activity. The Company is headquartered in New York City with offices in London, Berlin, Chicago, Denver and San Francisco.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80" w:firstLine="648"/>
        <w:spacing w:after="0" w:line="291" w:lineRule="auto"/>
        <w:rPr>
          <w:sz w:val="20"/>
          <w:szCs w:val="20"/>
          <w:color w:val="auto"/>
        </w:rPr>
      </w:pPr>
      <w:r>
        <w:rPr>
          <w:rFonts w:ascii="Arial" w:cs="Arial" w:eastAsia="Arial" w:hAnsi="Arial"/>
          <w:sz w:val="16"/>
          <w:szCs w:val="16"/>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w:t>
      </w:r>
    </w:p>
    <w:p>
      <w:pPr>
        <w:jc w:val="both"/>
        <w:ind w:right="220"/>
        <w:spacing w:after="0" w:line="277" w:lineRule="auto"/>
        <w:rPr>
          <w:sz w:val="20"/>
          <w:szCs w:val="20"/>
          <w:color w:val="auto"/>
        </w:rPr>
      </w:pPr>
      <w:r>
        <w:rPr>
          <w:rFonts w:ascii="Arial" w:cs="Arial" w:eastAsia="Arial" w:hAnsi="Arial"/>
          <w:sz w:val="17"/>
          <w:szCs w:val="17"/>
          <w:color w:val="auto"/>
        </w:rPr>
        <w:t>the LLC. On October 5, 2012, the LLC reorganized, by way of a merger of the LLC with and into Shutterstock, Inc. with Shutterstock, Inc. surviving in the merger (the “Reorganization”). In connection with the Reorganization, the preferred and common membership interests in the LLC, including any interests that vested upon the Reorganization, were exchanged for an aggregate of 28,338,281 shares of Shutterstock, Inc.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interim consolidated balance sheet as of March 31, 2014 and the consolidated statements of operations, comprehensive income and cash flows for the three months ended March 31, 2014 and 2013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March 31, 2014 and its results of consolidated operations, comprehensive income and cash flows for the three months ended March 31, 2014 and 2013. The financial data and the other financial information disclosed in these notes to the financial statements related to these periods are also unaudited. The results of operations for the three months ended March 31, 2014 are not necessarily indicative of the results to be expected for the year ending December 31, 2014 or for any other future annual or interim period.</w:t>
      </w:r>
    </w:p>
    <w:p>
      <w:pPr>
        <w:spacing w:after="0" w:line="17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There have been no changes in the significant accounting policies from those that were disclosed in the Company’s Annual Report on Form 10-K for the fiscal year ended December 31, 2013 filed on February 28, 2014. These financial statements should also be read in conjunction with the audited Consolidated Financial Statements and Notes thereto for the year ended December 31, 2013. Certain information and note disclosures normally included in the financial statements prepared in accordance with GAAP have been omitted pursuant to such rules and regulations. The consolidated balance sheet as of December 31, 2013 included herein was derived from the audited financial statements as of that date, but does not include all disclosures required by GAAP.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Virtual Moment, LLC</w:t>
      </w:r>
    </w:p>
    <w:p>
      <w:pPr>
        <w:sectPr>
          <w:pgSz w:w="11900" w:h="16838" w:orient="portrait"/>
          <w:cols w:equalWidth="0" w:num="1">
            <w:col w:w="11420"/>
          </w:cols>
          <w:pgMar w:left="240" w:top="140" w:right="239" w:bottom="0" w:gutter="0" w:footer="0" w:header="0"/>
        </w:sectPr>
      </w:pPr>
    </w:p>
    <w:bookmarkStart w:id="5" w:name="page6"/>
    <w:bookmarkEnd w:id="5"/>
    <w:p>
      <w:pPr>
        <w:ind w:right="80" w:firstLine="648"/>
        <w:spacing w:after="0" w:line="259" w:lineRule="auto"/>
        <w:rPr>
          <w:sz w:val="20"/>
          <w:szCs w:val="20"/>
          <w:color w:val="auto"/>
        </w:rPr>
      </w:pPr>
      <w:r>
        <w:rPr>
          <w:rFonts w:ascii="Arial" w:cs="Arial" w:eastAsia="Arial" w:hAnsi="Arial"/>
          <w:sz w:val="18"/>
          <w:szCs w:val="18"/>
          <w:color w:val="auto"/>
        </w:rPr>
        <w:t>On March 14, 2014, the Company acquired certain assets and certain liabilities of Virtual Moment, LLC (dba WebDAM) (“WebDAM”) pursuant to an asset purchase arrangement. The transaction was accounted for using the acquisition method, and accordingly, the results of the acquired business have been included in the Company’s results of operations from the acquisition date. The acquisition did not have a material impact on the Company’s reported operating results.</w:t>
      </w:r>
    </w:p>
    <w:p>
      <w:pPr>
        <w:spacing w:after="0" w:line="18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WebDAM sells digital asset management software services through its cloud-based platform to marketing and creative enterprise organizations. WebDAM’s products help organizations manage, search, distribute and collaborate on creative digital files in order to grow their brands and reach new audiences. WebDAM’s offerings are particularly attractive to large enterprises, which make up a significant portion of their client base. The Company believes that this acquisition will increase its strategic position with its enterprise customers as well as broaden its product availability to seize market opportunity.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The fair value of consideration transferred in this business combination is allocated to the intangible assets acquired and liabilities assumed at the acquisition date, with the remaining unallocated amount, if any, recorded as goodwill. The allocation of the acquisition price for this acquisition has been prepared on a preliminary basis, and changes to those allocations may occur as additional information becomes available.</w:t>
      </w:r>
    </w:p>
    <w:p>
      <w:pPr>
        <w:spacing w:after="0" w:line="16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total preliminary purchase price of $12,416 consists of an initial cash payment of $10,056 and $2,360 in contingent consideration based on certain performance criteria of post-acquisition revenue. As of March 31, 2014, the fair value of the post-acquisition revenue performance-based contingent consideration is included in other non-current liabilities. The fair value of the contingent consideration was determined using a Monte-Carlo simulation approach. The preliminary aggregate purchase price was allocated to the assets acquired and liabilities assumed as follows:</w:t>
      </w:r>
    </w:p>
    <w:p>
      <w:pPr>
        <w:spacing w:after="0" w:line="18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8,763</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assets acquired</w:t>
            </w: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4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r>
      <w:tr>
        <w:trPr>
          <w:trHeight w:val="210"/>
        </w:trPr>
        <w:tc>
          <w:tcPr>
            <w:tcW w:w="4600" w:type="dxa"/>
            <w:vAlign w:val="bottom"/>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identifiable intangible assets have a weighted average life of approximately 7 years and are being amortized on a straight-line basis. The fair value of the customer relationships was determined using a variation of the income approach known as excess earnings method. The fair values of the trade name and developed technology were both determined using the relief-from-royalty method. The goodwill arising from the transaction is primarily attributable to expected operational synergies and is deductible for income tax purposes. As a result of the acquisition, the Company recorded approximately $300 of professional fees for the three months ended March 31, 2014 which is included in general and administrative expense.</w:t>
      </w:r>
    </w:p>
    <w:p>
      <w:pPr>
        <w:spacing w:after="0" w:line="15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Pro forma results of operations have not been presented because the effect of this business combination was not material to the Company’s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sales refund reserve, goodwill, intangibles, non-cash equity-based compensation, income tax provision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restricted cash relates to security deposits for leased office locations. As of March 31, 2014 and December 31, 2013, the Company had $243 of restricted cash recorded in prepaid expenses and other current assets that related to a leased office location that expires in 2014 and had $2,017 of restricted cash recorded in other assets that related to leased office locations that expire in 2015 and 2024, respectively. The carrying value of restricted cash approximates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All revenue, net of chargebacks and refunds, is generated from the license of digital content through subscription or usage based plans. The</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Company’s three primary plans are: subscription plans, On Demand plans, and credit pack plans. The Company recognizes revenue when all of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the Company’s customers purchase products by making electronic payments at the time of a transaction with a credit card.</w:t>
      </w:r>
    </w:p>
    <w:p>
      <w:pPr>
        <w:sectPr>
          <w:pgSz w:w="11900" w:h="16838" w:orient="portrait"/>
          <w:cols w:equalWidth="0" w:num="1">
            <w:col w:w="11380"/>
          </w:cols>
          <w:pgMar w:left="240" w:top="125" w:right="279" w:bottom="0" w:gutter="0" w:footer="0" w:header="0"/>
        </w:sectPr>
      </w:pPr>
    </w:p>
    <w:bookmarkStart w:id="6" w:name="page7"/>
    <w:bookmarkEnd w:id="6"/>
    <w:p>
      <w:pPr>
        <w:spacing w:after="0" w:line="1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establishes a chargeback allowance and sales refund reserve allowance based on factors surrounding historical credit card chargeback trends, historical sales refund trends and other information. As of March 31, 2014 and December 31, 2013, the Company has recorded a chargeback allowance and sales refund allowance of $470 and $425, respectively, which is included in other liabilities. Collectability is assessed for customers who pay on credit based on a credit evaluation for new customers, when necessary, and transaction history with existing customers. Any cash received in advance of revenue recognition is recorded as deferred revenue.</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typically for a one-year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assuming no further Company obligation remains.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 is recognized based on customer usage on a per credit basis as digital content is downloaded. Revenue related to unused credits, if any, is recognized in full at the end of the plan term assuming no further Company obligation remains. Most plans automatically renew at the end of the plan term unless the customer elects not to renew. The Company recognizes revenue from its three types of plans on a gross basis in accordance with the authoritative guidance on principal-agent considerations as the Company is the primary obligor in the arrangement, has control in establishing the product’s price, performs a detailed review of the digital content before accepting it to its collection to ensure it is of high quality before it may be purchased by the customers, can reject contributor’s images in its sole discretion, and has credit risk.</w:t>
      </w:r>
    </w:p>
    <w:p>
      <w:pPr>
        <w:spacing w:after="0" w:line="17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but the determination is made on a case-by-case basis.</w:t>
      </w:r>
    </w:p>
    <w:p>
      <w:pPr>
        <w:spacing w:after="0" w:line="18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“Principal Agent Considerations.” The Company recognizes revenue net of reseller commission in accordance with the type of plan sold, consistent with the plan descriptions above. The Company generally does not offer refunds or the right of return to resellers.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measures and recognizes non-cash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8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Company uses the Black Scholes option pricing model to determine the fair value of stock options and other equity-based awards granted pursuant to the Value Appreciation Rights Plan (“VAR Plan”), 2012 Omnibus Equity Incentive Plan (the “2012 Plan”) and stock purchased pursuant to the Employee Stock Purchase Plan (“2012 ESPP”), which are discussed further in Note 11, Equity-Based Compensation.</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determination of the grant date fair value using an option-pricing model requires judgment as well as assumptions regarding a number of other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87" w:lineRule="exact"/>
        <w:rPr>
          <w:sz w:val="20"/>
          <w:szCs w:val="20"/>
          <w:color w:val="auto"/>
        </w:rPr>
      </w:pPr>
    </w:p>
    <w:p>
      <w:pPr>
        <w:ind w:left="1420" w:right="20" w:hanging="764"/>
        <w:spacing w:after="0" w:line="285"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Value of Common Membership Unit. </w:t>
      </w:r>
      <w:r>
        <w:rPr>
          <w:rFonts w:ascii="Arial" w:cs="Arial" w:eastAsia="Arial" w:hAnsi="Arial"/>
          <w:sz w:val="16"/>
          <w:szCs w:val="16"/>
          <w:color w:val="auto"/>
        </w:rPr>
        <w:t>Prior to completion of the IPO, the Company’s fair value of common ownership interest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estimated internally and approved by the Board of Managers (“BOM”) because the Company was not publicly traded. The Company’s intention upon granting VAR Plan awards was for the granted award to have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6"/>
          <w:szCs w:val="16"/>
          <w:i w:val="1"/>
          <w:iCs w:val="1"/>
          <w:color w:val="auto"/>
        </w:rPr>
        <w:t>Valuation of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Business Ownership Interest, Security, or Intangible Asset</w:t>
      </w:r>
      <w:r>
        <w:rPr>
          <w:rFonts w:ascii="Arial" w:cs="Arial" w:eastAsia="Arial" w:hAnsi="Arial"/>
          <w:sz w:val="16"/>
          <w:szCs w:val="16"/>
          <w:color w:val="auto"/>
        </w:rPr>
        <w:t>. The assumptions used in the valuation model were based on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expectations combined 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NYSE,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7" w:name="page8"/>
    <w:bookmarkEnd w:id="7"/>
    <w:p>
      <w:pPr>
        <w:spacing w:after="0" w:line="20" w:lineRule="exact"/>
        <w:rPr>
          <w:sz w:val="20"/>
          <w:szCs w:val="20"/>
          <w:color w:val="auto"/>
        </w:rPr>
      </w:pPr>
    </w:p>
    <w:p>
      <w:pPr>
        <w:ind w:left="1420" w:right="20" w:hanging="764"/>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is estimated using the simplified method allowed under Securities and Exchange Commission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w:t>
      </w:r>
    </w:p>
    <w:p>
      <w:pPr>
        <w:spacing w:after="0" w:line="170" w:lineRule="exact"/>
        <w:rPr>
          <w:rFonts w:ascii="Arial" w:cs="Arial" w:eastAsia="Arial" w:hAnsi="Arial"/>
          <w:sz w:val="18"/>
          <w:szCs w:val="18"/>
          <w:color w:val="auto"/>
        </w:rPr>
      </w:pPr>
    </w:p>
    <w:p>
      <w:pPr>
        <w:ind w:left="1420" w:hanging="764"/>
        <w:spacing w:after="0" w:line="270"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Volatility. </w:t>
      </w:r>
      <w:r>
        <w:rPr>
          <w:rFonts w:ascii="Arial" w:cs="Arial" w:eastAsia="Arial" w:hAnsi="Arial"/>
          <w:sz w:val="17"/>
          <w:szCs w:val="17"/>
          <w:color w:val="auto"/>
        </w:rPr>
        <w:t>As the Company does not have a trading history for its common ownership interest pre-IPO or a significant range of its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post-IPO, the expected price volatility for the common ownership interest and common stock was estimated by taking the average historic price volatility for industry peers based on daily price observations over a period equivalent to the expected term of the VAR Plan awards and stock options granted post-IPO.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stock becomes available, or unless circumstances change such that the identified companies are no longer similar to the Company, in which case, more suitable companies whose share prices are publicly available would be utilized in the calculation.</w:t>
      </w:r>
    </w:p>
    <w:p>
      <w:pPr>
        <w:spacing w:after="0" w:line="181" w:lineRule="exact"/>
        <w:rPr>
          <w:rFonts w:ascii="Arial" w:cs="Arial" w:eastAsia="Arial" w:hAnsi="Arial"/>
          <w:sz w:val="17"/>
          <w:szCs w:val="17"/>
          <w:color w:val="auto"/>
        </w:rPr>
      </w:pPr>
    </w:p>
    <w:p>
      <w:pPr>
        <w:ind w:left="1420" w:right="60" w:hanging="764"/>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each award group.</w:t>
      </w:r>
    </w:p>
    <w:p>
      <w:pPr>
        <w:spacing w:after="0" w:line="170" w:lineRule="exact"/>
        <w:rPr>
          <w:rFonts w:ascii="Arial" w:cs="Arial" w:eastAsia="Arial" w:hAnsi="Arial"/>
          <w:sz w:val="18"/>
          <w:szCs w:val="18"/>
          <w:color w:val="auto"/>
        </w:rPr>
      </w:pPr>
    </w:p>
    <w:p>
      <w:pPr>
        <w:ind w:left="1420" w:right="140" w:hanging="764"/>
        <w:spacing w:after="0" w:line="264"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Prior to the Reorganization, the Company has historically paid cash dividends or distributions to its members.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Reorganization, the Company has not paid cash distributions to its stockholders and it does not intend to do so for the foreseeable future. As a result, the Company used an expected dividend yield of zero.</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If any of the assumptions used in the Black-Scholes model changes significantly, the fair value for future awards may differ materially compared with the awards granted previously. The awards granted pursuant to the VAR Plan, the 2012 Plan, and the 2012 ESPP are subject to a time-based vesting requirement.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As of December 31, 2011, no equity-based compensation expense had been recognized with respect to the VAR Plan awards because the qualifying event had not occurred. As a result of the completion of the initial public offering (“IPO”) in October 2012, the Company began recording stock-based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16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any equity based awards that qualified for liability classification pre-IPO, the Company has elected to use the intrinsic value method to value the common membership interest in accordance with authoritative guidance on stock compensation. See Note 11, Equity Based Compensation,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is a Delaware corporation. Significant management judgment is required in projecting ordinary income/(loss) in order to determine the Company’s estimated effective tax rate.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if any, and related penalties and interest, if any, are included in the income tax provision.</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year.</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Company is subject to certain compliance requirements for non income taxes, value added and sales based taxes. Where appropriate, the Company has made accruals for these taxes, which are reflected in the Company’s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Basic net income per share is computed by dividing the net income attributable to common stockholders/members by the weighted average number of common shares outstanding during the period. The Company applies the two 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members based on the weighted average number of each class of securities outstanding during the applicable period as a percentage of the combined weighted average number of these securities outstanding during the period. Income available to common shareholders/members is computed by deducting dividends paid to preferred members, accretion to redemption value on preferred members shares, less income allocated to participating securities including unvested shares for the restricted award holder since these unvested shares have participating rights. See Note 11, Equity Based Compensation, for further discussion.</w:t>
      </w:r>
    </w:p>
    <w:p>
      <w:pPr>
        <w:sectPr>
          <w:pgSz w:w="11900" w:h="16859" w:orient="portrait"/>
          <w:cols w:equalWidth="0" w:num="1">
            <w:col w:w="11420"/>
          </w:cols>
          <w:pgMar w:left="240" w:top="341" w:right="239" w:bottom="0" w:gutter="0" w:footer="0" w:header="0"/>
        </w:sectPr>
      </w:pPr>
    </w:p>
    <w:bookmarkStart w:id="8" w:name="page9"/>
    <w:bookmarkEnd w:id="8"/>
    <w:p>
      <w:pPr>
        <w:ind w:firstLine="648"/>
        <w:spacing w:after="0" w:line="257" w:lineRule="auto"/>
        <w:rPr>
          <w:sz w:val="20"/>
          <w:szCs w:val="20"/>
          <w:color w:val="auto"/>
        </w:rPr>
      </w:pPr>
      <w:r>
        <w:rPr>
          <w:rFonts w:ascii="Arial" w:cs="Arial" w:eastAsia="Arial" w:hAnsi="Arial"/>
          <w:sz w:val="18"/>
          <w:szCs w:val="18"/>
          <w:color w:val="auto"/>
        </w:rPr>
        <w:t>Diluted net income per share is computed by dividing the net income available to common shareholders/members adjusted for any changes in income that would result from the assumed conversion of the potential common shares by the weighted average common shares outstanding and all potential common shares, if they are dilutive. Diluted net income available to common stockholders/members for the three months ended March 31, 2014 and 2013 includes the effect of 2,088,181 and 1,837,251 shares, respectively, while 179,883 and 53,750 shares, respectively, were excluded since they were anti-dilutive.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assumed exercised shares used in calculating basic and diluted income (loss) share available to common stockholders/members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312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Ended March 31,</w:t>
            </w:r>
          </w:p>
        </w:tc>
      </w:tr>
      <w:tr>
        <w:trPr>
          <w:trHeight w:val="142"/>
        </w:trPr>
        <w:tc>
          <w:tcPr>
            <w:tcW w:w="524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35,027,480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33,398,797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 options and employee stock purchase plan shares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705,980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442,258</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105,393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10,788</w:t>
            </w:r>
          </w:p>
        </w:tc>
        <w:tc>
          <w:tcPr>
            <w:tcW w:w="8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Diluted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35,838,853</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33,851,843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recently issued accounting standard updates is expected to have a material impact.</w:t>
      </w:r>
    </w:p>
    <w:p>
      <w:pPr>
        <w:spacing w:after="0" w:line="221" w:lineRule="exact"/>
        <w:rPr>
          <w:sz w:val="20"/>
          <w:szCs w:val="20"/>
          <w:color w:val="auto"/>
        </w:rPr>
      </w:pPr>
    </w:p>
    <w:p>
      <w:pPr>
        <w:ind w:left="660" w:right="6840" w:hanging="652"/>
        <w:spacing w:after="0" w:line="560" w:lineRule="auto"/>
        <w:tabs>
          <w:tab w:leader="none" w:pos="26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 Term Investments and Fair Value Measurements </w:t>
      </w:r>
      <w:r>
        <w:rPr>
          <w:rFonts w:ascii="Arial" w:cs="Arial" w:eastAsia="Arial" w:hAnsi="Arial"/>
          <w:sz w:val="16"/>
          <w:szCs w:val="16"/>
          <w:color w:val="auto"/>
        </w:rPr>
        <w:t>Short term investments are summarized as follows:</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March 31, 2014</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9"/>
              </w:rPr>
              <w:t>Estimated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 2013</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Company’s fair value hierarchy for its financial assets: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ind w:left="400"/>
              <w:spacing w:after="0"/>
              <w:rPr>
                <w:sz w:val="20"/>
                <w:szCs w:val="20"/>
                <w:color w:val="auto"/>
              </w:rPr>
            </w:pPr>
            <w:r>
              <w:rPr>
                <w:rFonts w:ascii="Arial" w:cs="Arial" w:eastAsia="Arial" w:hAnsi="Arial"/>
                <w:sz w:val="14"/>
                <w:szCs w:val="14"/>
                <w:b w:val="1"/>
                <w:bCs w:val="1"/>
                <w:color w:val="auto"/>
              </w:rPr>
              <w:t>As of March 31, 2014</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Aggregate Fair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54,994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54,994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54,994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54,994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rPr>
              <w:t>As of December 31, 2013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Aggregate Fair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Company’s investments classified as level 2 are priced using quoted market prices for identical assets which are subject to infrequent transactions. Cash and cash equivalents, accounts receivable, restricted cash, accounts payable, accrued expenses and deferred revenue carrying amounts approximate fair value because of the short maturity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Information About Revenue By Geographic Areas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geographic revenue based on customer location:</w:t>
      </w:r>
    </w:p>
    <w:p>
      <w:pPr>
        <w:spacing w:after="0" w:line="217" w:lineRule="exact"/>
        <w:rPr>
          <w:sz w:val="20"/>
          <w:szCs w:val="20"/>
          <w:color w:val="auto"/>
        </w:rPr>
      </w:pPr>
    </w:p>
    <w:p>
      <w:pPr>
        <w:jc w:val="center"/>
        <w:ind w:left="1660"/>
        <w:spacing w:after="0"/>
        <w:rPr>
          <w:sz w:val="20"/>
          <w:szCs w:val="20"/>
          <w:color w:val="auto"/>
        </w:rPr>
      </w:pPr>
      <w:r>
        <w:rPr>
          <w:rFonts w:ascii="Arial" w:cs="Arial" w:eastAsia="Arial" w:hAnsi="Arial"/>
          <w:sz w:val="14"/>
          <w:szCs w:val="14"/>
          <w:b w:val="1"/>
          <w:bCs w:val="1"/>
          <w:color w:val="auto"/>
        </w:rPr>
        <w:t>Three Months Ended</w:t>
      </w:r>
    </w:p>
    <w:p>
      <w:pPr>
        <w:jc w:val="center"/>
        <w:ind w:left="1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37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26,504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w:t>
            </w:r>
          </w:p>
        </w:tc>
        <w:tc>
          <w:tcPr>
            <w:tcW w:w="12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Europe</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26,649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19,040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19,624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13,714</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Total revenue</w:t>
            </w: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72,777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51,117</w:t>
            </w:r>
          </w:p>
        </w:tc>
        <w:tc>
          <w:tcPr>
            <w:tcW w:w="1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Included in North America is the United States which comprises 32% of total revenue for three months ended March 31, 2014 and 2013. No other country accounts for more than 10% of the Company’s revenue in any period. All long-lived assets are located in North America.</w:t>
      </w:r>
    </w:p>
    <w:p>
      <w:pPr>
        <w:sectPr>
          <w:pgSz w:w="11900" w:h="16838" w:orient="portrait"/>
          <w:cols w:equalWidth="0" w:num="1">
            <w:col w:w="11320"/>
          </w:cols>
          <w:pgMar w:left="240" w:top="341" w:right="339" w:bottom="0"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goodwill balance is attributable to its Bigstockphoto, Inc. (“Bigstock”) and WebDAM reporting units and is tested for impairment at least annually on October 1 or upon a triggering event. The following table summarizes the changes in the Company’s goodwill balance through March 31, 2014:</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Bigstock</w:t>
            </w:r>
          </w:p>
        </w:tc>
        <w:tc>
          <w:tcPr>
            <w:tcW w:w="16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WebDAM</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Goodwill related to acquisitions</w:t>
            </w: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8,763</w:t>
            </w:r>
          </w:p>
        </w:tc>
      </w:tr>
      <w:tr>
        <w:trPr>
          <w:trHeight w:val="210"/>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2014</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as of March 31, 2014 and December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center"/>
              <w:ind w:right="440"/>
              <w:spacing w:after="0"/>
              <w:rPr>
                <w:sz w:val="20"/>
                <w:szCs w:val="20"/>
                <w:color w:val="auto"/>
              </w:rPr>
            </w:pPr>
            <w:r>
              <w:rPr>
                <w:rFonts w:ascii="Arial" w:cs="Arial" w:eastAsia="Arial" w:hAnsi="Arial"/>
                <w:sz w:val="14"/>
                <w:szCs w:val="14"/>
                <w:b w:val="1"/>
                <w:bCs w:val="1"/>
                <w:color w:val="auto"/>
                <w:w w:val="93"/>
              </w:rPr>
              <w:t>As of March 31, 2014</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0"/>
                <w:szCs w:val="10"/>
                <w:color w:val="auto"/>
              </w:rPr>
            </w:pPr>
          </w:p>
        </w:tc>
        <w:tc>
          <w:tcPr>
            <w:tcW w:w="12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Net</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Average Life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Amount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6"/>
          </w:tcPr>
          <w:p>
            <w:pPr>
              <w:jc w:val="center"/>
              <w:ind w:left="736"/>
              <w:spacing w:after="0" w:line="142" w:lineRule="exact"/>
              <w:rPr>
                <w:sz w:val="20"/>
                <w:szCs w:val="20"/>
                <w:color w:val="auto"/>
              </w:rPr>
            </w:pPr>
            <w:r>
              <w:rPr>
                <w:rFonts w:ascii="Arial" w:cs="Arial" w:eastAsia="Arial" w:hAnsi="Arial"/>
                <w:sz w:val="14"/>
                <w:szCs w:val="14"/>
                <w:b w:val="1"/>
                <w:bCs w:val="1"/>
                <w:color w:val="auto"/>
                <w:w w:val="94"/>
              </w:rPr>
              <w:t>(unaudited)</w:t>
            </w: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Customer relationship</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3,400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ind w:left="78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2,780</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Developed technology</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596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Contributor content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Patents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170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Domain name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ind w:left="780"/>
              <w:spacing w:after="0"/>
              <w:rPr>
                <w:sz w:val="20"/>
                <w:szCs w:val="20"/>
                <w:color w:val="auto"/>
              </w:rPr>
            </w:pPr>
            <w:r>
              <w:rPr>
                <w:rFonts w:ascii="Arial" w:cs="Arial" w:eastAsia="Arial" w:hAnsi="Arial"/>
                <w:sz w:val="18"/>
                <w:szCs w:val="18"/>
                <w:color w:val="auto"/>
                <w:w w:val="76"/>
              </w:rPr>
              <w:t>(923)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4,717</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center"/>
              <w:ind w:right="440"/>
              <w:spacing w:after="0"/>
              <w:rPr>
                <w:sz w:val="20"/>
                <w:szCs w:val="20"/>
                <w:color w:val="auto"/>
              </w:rPr>
            </w:pPr>
            <w:r>
              <w:rPr>
                <w:rFonts w:ascii="Arial" w:cs="Arial" w:eastAsia="Arial" w:hAnsi="Arial"/>
                <w:sz w:val="14"/>
                <w:szCs w:val="14"/>
                <w:b w:val="1"/>
                <w:bCs w:val="1"/>
                <w:color w:val="auto"/>
                <w:w w:val="90"/>
              </w:rPr>
              <w:t>As of December 31, 2013</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2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5"/>
              </w:rPr>
              <w:t>Net</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Carrying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Amount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Amortizing intangible assets:</w:t>
            </w:r>
          </w:p>
        </w:tc>
        <w:tc>
          <w:tcPr>
            <w:tcW w:w="1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Customer relationship</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ind w:left="760"/>
              <w:spacing w:after="0"/>
              <w:rPr>
                <w:sz w:val="20"/>
                <w:szCs w:val="20"/>
                <w:color w:val="auto"/>
              </w:rPr>
            </w:pPr>
            <w:r>
              <w:rPr>
                <w:rFonts w:ascii="Arial" w:cs="Arial" w:eastAsia="Arial" w:hAnsi="Arial"/>
                <w:sz w:val="18"/>
                <w:szCs w:val="18"/>
                <w:color w:val="auto"/>
              </w:rPr>
              <w:t>(600)</w:t>
            </w: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Contributor content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280" w:type="dxa"/>
            <w:vAlign w:val="bottom"/>
            <w:gridSpan w:val="3"/>
          </w:tcPr>
          <w:p>
            <w:pPr>
              <w:ind w:left="7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Domain name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(876</w:t>
            </w:r>
          </w:p>
        </w:tc>
        <w:tc>
          <w:tcPr>
            <w:tcW w:w="1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-1913890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-1913890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Amortization expense was $47 and $56 for the three months ended March 31, 2014 and 2013, respectively. The Company also determined that there was no indication of impairment of the intangible assets for any period presented. Estimated amortization expense for the next five years is: $499 for the remaining nine months of 2014, $666 in 2015, $666 in 2016, $666 in 2017, $666 in 2018 and $1,554 thereafter.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summarized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17,812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13,886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10,669</w:t>
            </w:r>
          </w:p>
        </w:tc>
        <w:tc>
          <w:tcPr>
            <w:tcW w:w="8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3"/>
              </w:rPr>
              <w:t>33,663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(7,109)</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3"/>
              </w:rPr>
              <w:t>25,798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Depreciation expense amounted to $1,504 and $723 for the three months ended March 31, 2014 and 2013, respectively. Depreciation expense is included in cost of revenue and general and administrative expense based on the nature of the asset. In connection with its move to its new headquarters, the Company recorded a loss on disposal of certain fixed assets in the amount of $367 for the three months ended March 31, 2014. There was no loss on disposal for the three months ended March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45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Royalty tax withholdings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5,305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costs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 income taxes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3,994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r>
      <w:tr>
        <w:trPr>
          <w:trHeight w:val="226"/>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Marketing</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729</w:t>
            </w: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475</w:t>
            </w:r>
          </w:p>
        </w:tc>
      </w:tr>
    </w:tbl>
    <w:p>
      <w:pPr>
        <w:sectPr>
          <w:pgSz w:w="11900" w:h="16900" w:orient="portrait"/>
          <w:cols w:equalWidth="0" w:num="1">
            <w:col w:w="11460"/>
          </w:cols>
          <w:pgMar w:left="240" w:top="337" w:right="1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2,379</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6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18,999</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23,638</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60" w:type="dxa"/>
            <w:vAlign w:val="bottom"/>
            <w:vMerge w:val="restart"/>
          </w:tcPr>
          <w:p>
            <w:pPr>
              <w:jc w:val="right"/>
              <w:ind w:right="230"/>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Company’s effective tax rates for the three month periods ended March 31, 2014 and 2013 were 46.1% and 44.2%, respectively. The Company incurred a discrete tax expense primarily relating to a change in state tax rates and its state apportionment percentage during the three months ended March 31, 2014 and 2013 which increased the effective tax rate by 6.2% and 4.4%, respectively. Excluding this discrete expense, the effective rate would have been 39.9% and 39.8% during the three months ended March 31, 2014 and 2013, respectively. The Company has computed the provision for income taxes based on the estimated annual effective tax rates and applying discrete items, if any, in the applicable period. The effective tax rate differs from the statutory tax rate due primarily to non-deductible expense related to non-cash equity-based compensation, and meals and entertainment.</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three months ended March 31, 2014 and 2013, the Company did not record an unrecognized tax benefit for uncertain tax positions taken in prior years. As of March 31, 2014 and December 31, 2013, the Company’s gross unrecognized tax benefit for uncertain tax positions taken in prior years was $1,500 for both periods. To the extent these unrecognized tax benefits are ultimately recognized, the Company’s effective tax rate may be impacted in future periods.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 accrued interest and penalties in the amount of $22 and $9 related to unrecognized tax benefits for the three months ended March 31, 2014 and 2013, respectively.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It is the Company’s practice and intention to indefinitely reinvest the earnings of its foreign subsidiaries in those operations. As of March 31, 2014, the excess of the amount for financial reporting over the tax basis of investment in these foreign subsidiaries is insignificant and the unrecognized deferred tax liability is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 Facility</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September 21, 2012, the Company entered into a Loan and Security Agreement with Silicon Valley Bank providing for a $12,000 term loan facility, which the Company refers to as the term loan facility. On December 24, 2012, the Company paid down $6,000 of the term loan facility. On March 25, 2013, the Company paid off the remaining $6,000 of the loan facility.</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Company capitalizes costs directly associated with acquiring third party financing. During the three months ended March 31, 2013, the Company accelerated and recognized $125 as a result of paying off the term loan facility.</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was in compliance with the financial covenants and other covenants applicable to it under the term loan facility during the three months ended March 31, 2013 prior to paying off the term loan facility on March 25,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leases facilities under agreements accounted for as operating leases. Rental expense, inclusive of operating leases, for the three months ended March 31, 2014 and 2013 was $1,192 and $498,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21, 2013, the Company entered into an operating lease agreement to lease its new office facility in New York, New York.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took possession of the premises during the third quarter of 2013, and as a result, the lease commenced. The Company also entered into a letter of credit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$1,829 as a security deposit for the leased facilities. The letter of credit was collateralized by $1,829 of cash as of March 31, 2014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and as such, is considered to be restricted cash and is included in other assets on the consolidated balance sheet. The lease term is eleven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 from the commencement date and aggregate future minimum lease payments are approximately $38,200.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the Company had no significant purchase commitments related to data server equipment.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March 31, 2014 and December 31, 2013, the Company had unconditional purchase obligations in the amount of $10,522 and $5,864, which consisted primarily of contracts related to infrastructure services and contractual commitments for marketing services.</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of March 31, 2014, the Company’s unconditional purchase obligations for the remainder of 2014 and for the years ending December 31, 2015, 2016 and 2017 are $4,668, $4,447, $1,343 and $64, respectively. As of December 31, 2013, the Company’s unconditional purchase obligations for the years ending December 31, 2014, 2015 and 2016 are $3,454, $1,845 and $565,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ectPr>
          <w:pgSz w:w="11900" w:h="16838" w:orient="portrait"/>
          <w:cols w:equalWidth="0" w:num="1">
            <w:col w:w="11460"/>
          </w:cols>
          <w:pgMar w:left="240" w:top="140" w:right="199" w:bottom="0" w:gutter="0" w:footer="0" w:header="0"/>
        </w:sectPr>
      </w:pPr>
    </w:p>
    <w:bookmarkStart w:id="11" w:name="page12"/>
    <w:bookmarkEnd w:id="11"/>
    <w:p>
      <w:pPr>
        <w:ind w:right="60" w:firstLine="648"/>
        <w:spacing w:after="0" w:line="287"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limited to $10. The Company offers certain of its customers greater levels of indemnification, including unlimited indemnification. As of March 31, 2014 and as of December 31, 2013,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has a 401(k) defined contribution plan (“401(k) Plan”) and provides for annual discretionary employer matching contributions not to exceed 3% of employees’ compensation per year. Matching contributions also are fully vested and non-forfeitable at all times.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recorded employer matching contributions of $209 and $139 for the three months ended March 31, 2014 and 2013,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stock option awards activity for the three months ended March 31, 2014:</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1,861,761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42,750</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(125,079)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(66,369)</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1,713,063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Vested and exercisable at March 31, 2014</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558,408</w:t>
            </w:r>
          </w:p>
        </w:tc>
        <w:tc>
          <w:tcPr>
            <w:tcW w:w="2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68"/>
        <w:spacing w:after="0" w:line="264" w:lineRule="auto"/>
        <w:rPr>
          <w:sz w:val="20"/>
          <w:szCs w:val="20"/>
          <w:color w:val="auto"/>
        </w:rPr>
      </w:pPr>
      <w:r>
        <w:rPr>
          <w:rFonts w:ascii="Arial" w:cs="Arial" w:eastAsia="Arial" w:hAnsi="Arial"/>
          <w:sz w:val="18"/>
          <w:szCs w:val="18"/>
          <w:color w:val="auto"/>
        </w:rPr>
        <w:t>The intrinsic value of the total stock options outstanding at March 31, 2014 and at December 31, 2013 was approximately $76,700 and $107,100, respectively. The intrinsic value of the total stock options vested and exercisable at March 31, 2014 and at December 31, 2013 was approximately $31,100 and $38,900, respectively.</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weighted average assumptions were used in the fair value calculation for the three months ended March 31, 2014 and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4"/>
                <w:szCs w:val="14"/>
                <w:color w:val="auto"/>
              </w:rPr>
            </w:pPr>
          </w:p>
        </w:tc>
      </w:tr>
      <w:tr>
        <w:trPr>
          <w:trHeight w:val="171"/>
        </w:trPr>
        <w:tc>
          <w:tcPr>
            <w:tcW w:w="1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2014</w:t>
            </w:r>
          </w:p>
        </w:tc>
        <w:tc>
          <w:tcPr>
            <w:tcW w:w="1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2013</w:t>
            </w:r>
          </w:p>
        </w:tc>
        <w:tc>
          <w:tcPr>
            <w:tcW w:w="1480" w:type="dxa"/>
            <w:vAlign w:val="bottom"/>
          </w:tcPr>
          <w:p>
            <w:pPr>
              <w:spacing w:after="0"/>
              <w:rPr>
                <w:sz w:val="14"/>
                <w:szCs w:val="14"/>
                <w:color w:val="auto"/>
              </w:rPr>
            </w:pPr>
          </w:p>
        </w:tc>
      </w:tr>
      <w:tr>
        <w:trPr>
          <w:trHeight w:val="210"/>
        </w:trPr>
        <w:tc>
          <w:tcPr>
            <w:tcW w:w="16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360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4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 - 2.4%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Dividend yield</w:t>
            </w:r>
          </w:p>
        </w:tc>
        <w:tc>
          <w:tcPr>
            <w:tcW w:w="360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20"/>
                <w:szCs w:val="20"/>
                <w:color w:val="auto"/>
              </w:rPr>
            </w:pPr>
          </w:p>
        </w:tc>
      </w:tr>
      <w:tr>
        <w:trPr>
          <w:trHeight w:val="418"/>
        </w:trPr>
        <w:tc>
          <w:tcPr>
            <w:tcW w:w="1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 recognized non-cash stock-based compensation expense of $1,686 and $613, net of estimated forfeitures, in connection with the vesting of stock options during the three months ended March 31, 2014 and 2013, respectively. As of March 31, 2014, the total unrecognized compensation</w:t>
      </w:r>
    </w:p>
    <w:p>
      <w:pPr>
        <w:sectPr>
          <w:pgSz w:w="11900" w:h="16838" w:orient="portrait"/>
          <w:cols w:equalWidth="0" w:num="1">
            <w:col w:w="11460"/>
          </w:cols>
          <w:pgMar w:left="240" w:top="125" w:right="19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charge related to the 2012 Plan non-vested options was approximately $15,600, which is expected to be recognized through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Restricted Stock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restricted stock units (“RSUs”) activity for the three months ended March 31, 2014:</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524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December 31, 2013</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Units 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338,025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95.30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Units vested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Units cancelled or forfeited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March 31, 2014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recognized non-cash stock-based compensation expense of $901 and $0, net of estimated forfeitures, in connection with the vesting of RSUs during the three months ended March 31, 2014 and 2013, respectively.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connection with the Reorganization, membership interest in the LLC was exchanged for restricted and unrestricted shares of the Company’s stock. The Amended and Restated Restricted Stock Agreement entered into by the Company with an executive governs the terms of the restricted stock inclusive of service vesting terms. As the restricted shares vest, the award’s restrictions will be removed. The Company recognized non-cash equity-based compensation expense of $259 and $259, which is included in general and administrative expense, during the three months ended March 31, 2014 and 2013, respectively, in connection with the normal vesting of restricted stock.</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connections with the WebDAM acquisition, in order to retain the services of certain former WebDAM employees, the Company granted non-vested RSUs that will vest over two years from the date of acquisition. As these equity awards are subject to post-acquisition employment, the Company is accounting for them as compensation expense. A portion of these equity awards are accounted for as liability-classified awards, because the obligations are based on fixed monetary amounts that are known at inception of the obligation, to be settled with a variable number of shares of the Company’s common stock when the equity awards vests. The Company recognized non-cash stock-based compensation expense of $77, in connection with the vesting of these obligations during the three months ended March 31, 2014. There was no non-cash stock-based compensation expense related to these obligations during the three months ended March 31, 2013.</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March 31, 2014, the total unrecognized non-cash stock-based compensation charge related to the 2012 Plan non-vested restricted stock and RSUs is approximately $35,600, which is expected to be recognized through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 October 10, 2012, the Company’s 2012 ESPP became effective. The Company has recognized a non-cash stock-based compensation expense of $214 and $144, net of estimated forfeitures, in connection with the 2012 ESPP for the three months ended March 31, 2014 and 2013. As of March 31, 2014, 94,917 shares have been issued under the 2012 ESPP.</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summarizes non-cash equity-based compensation expense included in the Company’s statement of operations for the three months ended March 31, 2014 and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Sales and marketing</w:t>
            </w: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902</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1,037</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80" w:type="dxa"/>
            <w:vAlign w:val="bottom"/>
            <w:vMerge w:val="restart"/>
          </w:tcPr>
          <w:p>
            <w:pPr>
              <w:jc w:val="right"/>
              <w:ind w:right="990"/>
              <w:spacing w:after="0"/>
              <w:rPr>
                <w:sz w:val="20"/>
                <w:szCs w:val="20"/>
                <w:color w:val="auto"/>
              </w:rPr>
            </w:pPr>
            <w:r>
              <w:rPr>
                <w:rFonts w:ascii="Arial" w:cs="Arial" w:eastAsia="Arial" w:hAnsi="Arial"/>
                <w:sz w:val="18"/>
                <w:szCs w:val="18"/>
                <w:color w:val="auto"/>
              </w:rPr>
              <w:t>19</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Cautionary Statement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interim consolidated financial statements contained elsewhere in this quarterly report on Form 10-Q and with information contained in our other filings, including the audited consolidated financial statements included in our Annual Report on Form 10-K for the year ended December 31, 2013.</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of this Quarterly Report on Form 10-Q and in other parts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operate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w:t>
      </w:r>
    </w:p>
    <w:p>
      <w:pPr>
        <w:sectPr>
          <w:pgSz w:w="11900" w:h="16838" w:orient="portrait"/>
          <w:cols w:equalWidth="0" w:num="1">
            <w:col w:w="11460"/>
          </w:cols>
          <w:pgMar w:left="240" w:top="125" w:right="199" w:bottom="183" w:gutter="0" w:footer="0" w:header="0"/>
        </w:sectPr>
      </w:pPr>
    </w:p>
    <w:bookmarkStart w:id="13" w:name="page14"/>
    <w:bookmarkEnd w:id="13"/>
    <w:p>
      <w:pPr>
        <w:ind w:right="100" w:firstLine="648"/>
        <w:spacing w:after="0" w:line="284" w:lineRule="auto"/>
        <w:rPr>
          <w:sz w:val="20"/>
          <w:szCs w:val="20"/>
          <w:color w:val="auto"/>
        </w:rPr>
      </w:pPr>
      <w:r>
        <w:rPr>
          <w:rFonts w:ascii="Arial" w:cs="Arial" w:eastAsia="Arial" w:hAnsi="Arial"/>
          <w:sz w:val="16"/>
          <w:szCs w:val="16"/>
          <w:color w:val="auto"/>
        </w:rPr>
        <w:t>Our global online marketplace brings together users of commercial digital imagery with image creators from around the world. More than 900,000 active, paying users contributed to revenue through March 31, 2014. We have historically benefitted from a high degree of revenue retention from both subscription-based and On Demand customers. For example, in 2013, 2012 and 2011, we experienced year-to-year revenue retention of 99%, 100%, and 102%, respectively. This means that customers that contributed to revenue in 2012 contributed, in the aggregate, 99% as much revenue in 2013 as they did in 2012. More than 50,000 approved contributors make their images available in our collection, which has grown to more than 35 million images as of March 31, 2014. This makes our collection one of the largest of its kind and, in the twelve months ended December 31, 2013, we delivered more than</w:t>
      </w:r>
    </w:p>
    <w:p>
      <w:pPr>
        <w:spacing w:after="0" w:line="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100 million paid downloads (including both commercial and editorial images) to our customers. We believe that we delivered the highest volume of commercial image downloads in this period of any single brand in our industry.</w:t>
      </w:r>
    </w:p>
    <w:p>
      <w:pPr>
        <w:spacing w:after="0" w:line="184" w:lineRule="exact"/>
        <w:rPr>
          <w:sz w:val="20"/>
          <w:szCs w:val="20"/>
          <w:color w:val="auto"/>
        </w:rPr>
      </w:pPr>
    </w:p>
    <w:p>
      <w:pPr>
        <w:jc w:val="both"/>
        <w:ind w:left="660" w:right="60" w:hanging="328"/>
        <w:spacing w:after="0" w:line="264"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2014, we announced a partnership with the New York based Art Directs Club (“ADC”) that will further both organizations’ commitment to empowering the creative community. The Company will serve as partner in presenting ADC’s highly regarded programs and initiatives including Young Guns, Portfolio Night and the Tomorrow Awards.</w:t>
      </w:r>
    </w:p>
    <w:p>
      <w:pPr>
        <w:spacing w:after="0" w:line="181" w:lineRule="exact"/>
        <w:rPr>
          <w:rFonts w:ascii="Arial" w:cs="Arial" w:eastAsia="Arial" w:hAnsi="Arial"/>
          <w:sz w:val="18"/>
          <w:szCs w:val="18"/>
          <w:color w:val="auto"/>
        </w:rPr>
      </w:pPr>
    </w:p>
    <w:p>
      <w:pPr>
        <w:ind w:left="660" w:right="36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2014, we surpassed contributor payouts of $200 million since our founding in 2003, illustrating our dynamic global marketplace and ability to connect artists to image buyers around the world.</w:t>
      </w:r>
    </w:p>
    <w:p>
      <w:pPr>
        <w:spacing w:after="0" w:line="170" w:lineRule="exact"/>
        <w:rPr>
          <w:rFonts w:ascii="Arial" w:cs="Arial" w:eastAsia="Arial" w:hAnsi="Arial"/>
          <w:sz w:val="18"/>
          <w:szCs w:val="18"/>
          <w:color w:val="auto"/>
        </w:rPr>
      </w:pPr>
    </w:p>
    <w:p>
      <w:pPr>
        <w:ind w:left="660" w:right="460" w:hanging="328"/>
        <w:spacing w:after="0" w:line="264"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2014, we acquired Virtual Moment, LLC (dba WebDAM) (“WebDAM”). WebDAM sells digital asset management software services through its cloud-based platform to marketing and creative enterprise organizations. WebDAM’s products help organizations manage, search, distribute and collaborate on creative files in order to grow its brands and reach new audiences.</w:t>
      </w:r>
    </w:p>
    <w:p>
      <w:pPr>
        <w:spacing w:after="0" w:line="181" w:lineRule="exact"/>
        <w:rPr>
          <w:rFonts w:ascii="Arial" w:cs="Arial" w:eastAsia="Arial" w:hAnsi="Arial"/>
          <w:sz w:val="18"/>
          <w:szCs w:val="18"/>
          <w:color w:val="auto"/>
        </w:rPr>
      </w:pPr>
    </w:p>
    <w:p>
      <w:pPr>
        <w:ind w:left="660" w:right="66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2014, we surpassed over 400 million licenses sold since our founding in 2003, highlighting our increasing role in powering business communications worldwide.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an online marketplace, we generate revenue by selling image licenses and we pay royalties to contributors for each of their images that are downloaded. Approximately half of our revenue and the vast majority of our downloads come from subscription-based users. These customers can download and use a large number of images in their creative process without concern for the incremental cost of each image download.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81"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Each time an image or video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47" w:lineRule="exact"/>
        <w:rPr>
          <w:sz w:val="20"/>
          <w:szCs w:val="20"/>
          <w:color w:val="auto"/>
        </w:rPr>
      </w:pPr>
    </w:p>
    <w:p>
      <w:pPr>
        <w:ind w:right="60" w:firstLine="450"/>
        <w:spacing w:after="0" w:line="293"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65"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We manage customer acquisition costs based on the expected blended customer lifetime value across our purchase options so we are able to manage our marketing expenses to achieve certain desired growth targets.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7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number of years,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exceeded 35 million images as of March 31, 2014, making it one of the largest libraries of its kind.</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14, 2014, the Company acquired certain assets and liabilities of Virtual Moment, LLC (dba WebDAM) (“WebDAM”) pursuant to an asset purchase arrangement. The transaction was accounted for using the acquisition method, and accordingly, the results of the acquired business have been included in the Company’s results of operations from the acquisition date. WebDAM sells digital asset management software services through its cloud-based platform to marketing and creative enterprise organizations. WebDAM’s products help organizations manage, search, distribute and collaborate on creative digital files in order to grow its brands and reach new audiences. WebDAM’s offerings are particularly attractive to large enterprises, which make up a significant portion of their client base. We believe that this acquisition will increase our strategic position with our enterprise customers as well as broaden our product availability to seize market opportunity. The acquisition did not have a material impact on the Company’s reported operating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4" w:name="page15"/>
    <w:bookmarkEnd w:id="14"/>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160" w:firstLine="414"/>
        <w:spacing w:after="0" w:line="286"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three months ended March 31, 2014 and 2013:</w:t>
      </w:r>
    </w:p>
    <w:p>
      <w:pPr>
        <w:spacing w:after="0" w:line="14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60" w:type="dxa"/>
            <w:vAlign w:val="bottom"/>
            <w:gridSpan w:val="2"/>
          </w:tcPr>
          <w:p>
            <w:pPr>
              <w:jc w:val="center"/>
              <w:ind w:right="579"/>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right="579"/>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80" w:type="dxa"/>
            <w:vAlign w:val="bottom"/>
            <w:gridSpan w:val="3"/>
          </w:tcPr>
          <w:p>
            <w:pPr>
              <w:jc w:val="center"/>
              <w:ind w:left="288"/>
              <w:spacing w:after="0" w:line="142" w:lineRule="exact"/>
              <w:rPr>
                <w:sz w:val="20"/>
                <w:szCs w:val="20"/>
                <w:color w:val="auto"/>
              </w:rPr>
            </w:pPr>
            <w:r>
              <w:rPr>
                <w:rFonts w:ascii="Arial" w:cs="Arial" w:eastAsia="Arial" w:hAnsi="Arial"/>
                <w:sz w:val="14"/>
                <w:szCs w:val="14"/>
                <w:b w:val="1"/>
                <w:bCs w:val="1"/>
                <w:color w:val="auto"/>
                <w:w w:val="91"/>
              </w:rPr>
              <w:t>(in millions, except revenue per download)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Paid downloads (during the period)</w:t>
            </w: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29.7</w:t>
            </w: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22.4</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Revenue per download (during the period)</w:t>
            </w:r>
          </w:p>
        </w:tc>
        <w:tc>
          <w:tcPr>
            <w:tcW w:w="240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7"/>
              <w:spacing w:after="0"/>
              <w:rPr>
                <w:sz w:val="20"/>
                <w:szCs w:val="20"/>
                <w:color w:val="auto"/>
              </w:rPr>
            </w:pPr>
            <w:r>
              <w:rPr>
                <w:rFonts w:ascii="Arial" w:cs="Arial" w:eastAsia="Arial" w:hAnsi="Arial"/>
                <w:sz w:val="18"/>
                <w:szCs w:val="18"/>
                <w:color w:val="auto"/>
              </w:rPr>
              <w:t>2.45</w:t>
            </w:r>
          </w:p>
        </w:tc>
        <w:tc>
          <w:tcPr>
            <w:tcW w:w="1260" w:type="dxa"/>
            <w:vAlign w:val="bottom"/>
          </w:tcPr>
          <w:p>
            <w:pPr>
              <w:jc w:val="right"/>
              <w:ind w:right="93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2.28</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Images in collection (end of period)</w:t>
            </w: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35.4</w:t>
            </w: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25.1</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 clips,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years, revenue from each of our purchase options has grown, however our fastest growing purchase options have been those that generate more revenue per download, most notably our On Demand and direct sales purchase options. Due to this change in product mix, our revenue per download has increased steadily over the last three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Collection</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define images in our collection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one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one image to 25 images or one video clip to 25 video clips. We also generate On Demand revenue through Bigstock via the sale of both credits plans (which enable a customer to purchase a fixed number of credits which can then be utilized to download images anytime within one year).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approximately 14% and 10% of our revenue in 2013 and 2012, respectively. These purchase options include custom accounts (for customers that need multi-seat access, invoicing, greater or unlimited indemnification, or a higher volume of images) and video footage (which are sold both individually and in fixed packages). We typically receive the full amount of the purchase at the time of sale; however, revenue is recognized as images or video clips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8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deferred revenue consists of paid but unrecognized subscription revenue, On Demand revenue, and other revenue. Deferred revenue is recognized as revenue when images or video clips are downloaded (On Demand), through the passage of time (subscriptions) or when credits or the right to download images or video clips expire, and when all other revenue recognition criteria have been met.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image and video clip review costs,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expenses, the infrastructure costs related to maintaining our websites and associated employee compensation and non-cash equity-based compensation, facility costs and other supporting overhead costs. We expect that our cost of revenue will increase in absolute dollars in the foreseeable future as our revenue grows.</w:t>
      </w:r>
    </w:p>
    <w:p>
      <w:pPr>
        <w:spacing w:after="0" w:line="18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include third-party marketing, advertising, branding, public relations and sales expenses.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marketing expenses also include associated employee compensation and non-cash equity-based compensation, commissions and benefits as well as</w:t>
      </w:r>
    </w:p>
    <w:p>
      <w:pPr>
        <w:sectPr>
          <w:pgSz w:w="11900" w:h="16881" w:orient="portrait"/>
          <w:cols w:equalWidth="0" w:num="1">
            <w:col w:w="11420"/>
          </w:cols>
          <w:pgMar w:left="240" w:top="121" w:right="239" w:bottom="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facility and other supporting overhead costs. We expect sales and marketing expenses to increase in absolute dollars in the foreseeable future as we continue to invest in new customer acquisition.</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of headcount expenses, including employee compensation and non-cash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benefits and bonuses for salaried employees and contractors engaged in product management, design, development and testing of our websites and products. Product development costs also include facility and other supporting overhead costs. We expense product development expenses as incurred, except for costs that are capitalized for certain software development projects that have demonstrated technological feasibility. We expect product development expenses to increase in absolute dollars in the foreseeable future as we continue to invest in developing new products and enhancing the functionality of our existing products.</w:t>
      </w:r>
    </w:p>
    <w:p>
      <w:pPr>
        <w:spacing w:after="0" w:line="19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salaries, non-cash equity-based compensation and benefits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finance, business development, accounting, legal, human resources, internal information technology and other administrative personnel. In addition, general and administrative expenses include outside legal and accounting services, insurance, facilities costs and other supporting overhead costs. We expect to incur incremental general and administrative expenses to support our growth and to support operating as a public company.</w:t>
      </w:r>
    </w:p>
    <w:p>
      <w:pPr>
        <w:spacing w:after="0" w:line="154"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Historically, we filed our income tax return as a “pass through” New York limited liability company for federal and state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and were subject to taxation on allocable portions of our net income and other taxes based on various methodologies employed by taxing authorities in certain localities. As a limited liability company (“LLC”), we recognized no federal and state income taxes, as the members of the LLC, and not the entity itself, were subject to income tax on their allocated share of our earnings. On October 5, 2012, we reorganized from a limited liability company to a Delaware corporation. Consequently, our corporate income tax rate has increased significantly now that we are subject to federal, state and additional city income taxes.</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we expand our operations outside of the United States, we may become subject to taxation in additional non-U.S. jurisdictions and our effective tax rate could fluctuate accordingly.</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U.S. GAAP income taxes are computed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prepare our consolidated financial statements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goodwill, intangibles, non-cash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79" w:lineRule="exact"/>
        <w:rPr>
          <w:sz w:val="20"/>
          <w:szCs w:val="20"/>
          <w:color w:val="auto"/>
        </w:rPr>
      </w:pPr>
    </w:p>
    <w:p>
      <w:pPr>
        <w:ind w:right="480" w:firstLine="450"/>
        <w:spacing w:after="0" w:line="264"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non-cash equity-based compensation, accounting for income taxes, goodwill and intangible assets have the greatest potential impact on our financial statements. Therefore, we consider these to be our critical accounting policies and estimates.</w:t>
      </w:r>
    </w:p>
    <w:p>
      <w:pPr>
        <w:spacing w:after="0" w:line="181"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judgments appears in our Annual Report on Form 10-K for the year ended December 31, 2013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filed in our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60" w:firstLine="450"/>
        <w:spacing w:after="0" w:line="276" w:lineRule="auto"/>
        <w:rPr>
          <w:sz w:val="20"/>
          <w:szCs w:val="20"/>
          <w:color w:val="auto"/>
        </w:rPr>
      </w:pPr>
      <w:r>
        <w:rPr>
          <w:rFonts w:ascii="Arial" w:cs="Arial" w:eastAsia="Arial" w:hAnsi="Arial"/>
          <w:sz w:val="17"/>
          <w:szCs w:val="17"/>
          <w:color w:val="auto"/>
        </w:rPr>
        <w:t>Section 107 of the Jumpstart Our Business Startups Act of 2012, or the JOBS Act, provides that an “emerging growth company” can take advantage of the extended transition period provided in Section 7(a)(2)(B) of the Securities Act of 1933, as amended, for complying with new or revised accounting standards. However, we have chosen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in the process of evaluating the benefits of relying on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or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6" w:name="page17"/>
    <w:bookmarkEnd w:id="16"/>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566"/>
              <w:spacing w:after="0" w:line="142" w:lineRule="exact"/>
              <w:rPr>
                <w:sz w:val="20"/>
                <w:szCs w:val="20"/>
                <w:color w:val="auto"/>
              </w:rPr>
            </w:pPr>
            <w:r>
              <w:rPr>
                <w:rFonts w:ascii="Arial" w:cs="Arial" w:eastAsia="Arial" w:hAnsi="Arial"/>
                <w:sz w:val="14"/>
                <w:szCs w:val="14"/>
                <w:b w:val="1"/>
                <w:bCs w:val="1"/>
                <w:color w:val="auto"/>
              </w:rPr>
              <w:t>(thousands)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72,777</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8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29,108</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19,276</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7,777</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63,678</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41,134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9,099</w:t>
            </w: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9,120</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4,202</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4,918</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17"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6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w w:val="92"/>
              </w:rPr>
              <w:t>Comparison of the Three Months Ended March 31, 2014 and 2013</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00" w:type="dxa"/>
            <w:vAlign w:val="bottom"/>
            <w:gridSpan w:val="8"/>
          </w:tcPr>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 Change</w:t>
            </w:r>
          </w:p>
        </w:tc>
        <w:tc>
          <w:tcPr>
            <w:tcW w:w="11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Consolidated Statements of Operations Data:</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72,777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51,117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21,660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29,108</w:t>
            </w:r>
          </w:p>
        </w:tc>
        <w:tc>
          <w:tcPr>
            <w:tcW w:w="1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19,821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9,287</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19,276</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11,978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7,298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7,777</w:t>
            </w:r>
          </w:p>
        </w:tc>
        <w:tc>
          <w:tcPr>
            <w:tcW w:w="1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4,555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3,222</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7,517</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2,737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63,678</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41,134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22,544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9,099</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(884)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33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9,971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(851)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4,202</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-3766185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-3766185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1" w:right="19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3253105</wp:posOffset>
            </wp:positionH>
            <wp:positionV relativeFrom="page">
              <wp:posOffset>88900</wp:posOffset>
            </wp:positionV>
            <wp:extent cx="3422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2015" cy="8890"/>
                    </a:xfrm>
                    <a:prstGeom prst="rect">
                      <a:avLst/>
                    </a:prstGeom>
                    <a:noFill/>
                  </pic:spPr>
                </pic:pic>
              </a:graphicData>
            </a:graphic>
          </wp:anchor>
        </w:drawing>
        <w:t>Revenue</w:t>
      </w:r>
    </w:p>
    <w:p>
      <w:pPr>
        <w:spacing w:after="0" w:line="225"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Revenue increased by $21.7 million, or 42%, to $72.8 million in the three months ended March 31, 2014 compared to the same period in 2013. This increase in revenue was primarily attributable to growth in the number of paid downloads and an increase in revenue per download. In the three months ended March 31, 2014 and 2013, respectively, we delivered 29.7 million and 22.4 million paid downloads, and our average revenue per download increased to $2.45 from $2.28. Paid downloads increased primarily due to the acquisition of new customers. Revenue per download increased primarily due to growth in our On Demand offerings, which capture a higher effective price per download. In the three months ended March 31, 2014 compared to the same period in 2013, percentage of revenue attributable to North America, Europe, and the rest of the world remained flat at 36%, 37% and 27%,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$9.3 million, or 47%, to $29.1 million in the three months ended March 31, 2014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2013. Royalties increased $5.7 million, or 39%, driven by an increase in the number of downloads from customers. We anticipate royalties growing proportionately with revenues for the remainder of 2014 and beyond, although royalties as a percentage of revenue may vary from period to period primarily due to the contributor’s achievement level of royalty target thresholds. Credit card charges increased by $0.8 million, or 45%, to $2.6 million as a result of increased card volume in the three months ended March 31, 2014. We anticipate credit card charges increasing for the remainder of 2014 and beyond as credit card transaction volume increases. Employee-related costs increased $1.0 million, or 84%, driven primarily by increased headcount in customer service, content and website operations to support increased customer volume and a more robust website infrastructure. Other costs associated with website hosting, content consulting and allocation of depreciation and amortization expense increased by $1.3 million, or 91%, to $2.5 million in the three months ended March 31, 2014 compared to the same period in 2013.</w:t>
      </w:r>
    </w:p>
    <w:p>
      <w:pPr>
        <w:spacing w:after="0" w:line="18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$7.3 million, or 61%, to $19.3 million in the three months ended March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2013. Advertising expenses, the largest component of our sales and marketing expenses, increased by $3.1 million, or 39%, as compared to the prior period as a result of increased spending on both affiliate and search advertising and new channels in the current period. We anticipate that our global advertising spend will continue to increase in absolute dollars for the remainder of 2014 and beyond, as we further our international expansion. Employee-related expenses, including travel and entertainment, increased by $3.2 million, or 98%, driven by an increase in sales and marketing headcount to support our expansion into new markets, increased sales commissions as a result of growing revenue from direct sales, and non-cash equity-based compensation.</w:t>
      </w:r>
    </w:p>
    <w:p>
      <w:pPr>
        <w:spacing w:after="0" w:line="189" w:lineRule="exact"/>
        <w:rPr>
          <w:sz w:val="20"/>
          <w:szCs w:val="20"/>
          <w:color w:val="auto"/>
        </w:rPr>
      </w:pPr>
    </w:p>
    <w:p>
      <w:pPr>
        <w:ind w:right="120" w:firstLine="450"/>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$3.2 million, or 71%, to $7.8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compared to the same period in 2013. Employee-related costs increased by $2.3 million, or 69%, driven primarily by headcount increases in product, engineering and quality assurance to support our increasing number of research and development initiatives for our websites, including ongoing efforts to improve our search capabilities, and increased non-cash equity-based compensation. Consulting costs and hosting costs for internal product development increased by $0.5 million, or 106%, primarily due to costs associated with outsourced and internal product development and quality assurance services related to employee headcount growth.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$2.8 million, or 58%, to $7.5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2014 compared to the same period in 2013. Employee-related expenses increased by $1.0 million, or 47%, as we added finance, legal, human resources, internal information technology and business intelligence personnel to support the growth in our revenue and the infrastructure necessary to operate as a public company. Professional fees and depreciation expense increased by $0.8 million, or 77%, primarily due to tax and legal fees related to our international expansion and increased property and equipment as a result of our new office facilities. Transaction costs increased $0.3 million as a result of the WebDAM acquisition. Costs related to our re-location to our new office facility, including exit, disposal, and moving costs, increased $0.6 million.</w:t>
      </w:r>
    </w:p>
    <w:p>
      <w:pPr>
        <w:spacing w:after="0" w:line="165"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decreased by $0.2 million, or 5%, to $4.2 million in the three months ended March 31, 2014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2013. The Company’s effective tax rates for the three month periods ended March 31, 2014 and 2013 are 46.1% and 44.2%, respectively. The Company incurred a discrete tax expense related primarily to a change in state tax rates and its state apportionment percentage during the three months ended March 31, 2014 and 2013 which increased the effective tax rate by 6.2% and 4.4%, respectively. Excluding this discrete expense, the effective rate would have been 39.9% and 39.8% during the three months ended March 31, 2014 and 2013,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225"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Our operating results may fluctuate from quarter to quarter as a result of a variety of factors. Our results may reflect the effects of some seasonal trends in customer behavior. For example, we expect usage to decrease during the fourth quarter of each calendar year due to the year-end holiday vacation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93" w:lineRule="exact"/>
        <w:rPr>
          <w:sz w:val="20"/>
          <w:szCs w:val="20"/>
          <w:color w:val="auto"/>
        </w:rPr>
      </w:pPr>
    </w:p>
    <w:p>
      <w:pPr>
        <w:ind w:right="300" w:firstLine="450"/>
        <w:spacing w:after="0" w:line="312" w:lineRule="auto"/>
        <w:rPr>
          <w:sz w:val="20"/>
          <w:szCs w:val="20"/>
          <w:color w:val="auto"/>
        </w:rPr>
      </w:pPr>
      <w:r>
        <w:rPr>
          <w:rFonts w:ascii="Arial" w:cs="Arial" w:eastAsia="Arial" w:hAnsi="Arial"/>
          <w:sz w:val="16"/>
          <w:szCs w:val="16"/>
          <w:color w:val="auto"/>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355" w:right="239" w:bottom="23" w:gutter="0" w:footer="0" w:header="0"/>
        </w:sectPr>
      </w:pPr>
    </w:p>
    <w:bookmarkStart w:id="18" w:name="page19"/>
    <w:bookmarkEnd w:id="18"/>
    <w:p>
      <w:pPr>
        <w:ind w:right="320" w:firstLine="450"/>
        <w:spacing w:after="0" w:line="259" w:lineRule="auto"/>
        <w:rPr>
          <w:sz w:val="20"/>
          <w:szCs w:val="20"/>
          <w:color w:val="auto"/>
        </w:rPr>
      </w:pPr>
      <w:r>
        <w:rPr>
          <w:rFonts w:ascii="Arial" w:cs="Arial" w:eastAsia="Arial" w:hAnsi="Arial"/>
          <w:sz w:val="18"/>
          <w:szCs w:val="18"/>
          <w:color w:val="auto"/>
        </w:rPr>
        <w:t>As of March 31, 2014, we had cash and cash equivalents of $158.0 million, which primarily consisted of money market mutual funds and checking accounts. Additionally, we held short-term investments in the amount of $55.0 million all of which mature in 90 days or less. Since inception, we have financed our operations primarily through cash flow generated from operations. Historically, our principal uses of cash have been funding our operations, capital expenditures and distributions to members.</w:t>
      </w:r>
    </w:p>
    <w:p>
      <w:pPr>
        <w:spacing w:after="0" w:line="187"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Our initial public offering in 2012 and subsequent follow-on offering in 2013 raised approximately $147.7 million. 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6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on our financial condition, results of operations, contractual restrictions, capital requirements, business prospects and other factors our board of directors may deem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225"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Consistent with previous periods, we expect that future capital expenditures will primarily relate to acquiring additional servers and network connectivity hardware and software, leasehold improvements and furniture and fixtures related to office expansion and relocation and general corporate infrastructure. We anticipate capital expenditures of approximately $9 million for the remainder of 2014. See Note 9 to our Unaudited Consolidated Financial Statements included in Part I, Item 1 of this Quarterly Report on Form 10-Q for information regarding capital expenditures for the three months ended March 31, 2014 and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81" w:lineRule="exact"/>
        <w:rPr>
          <w:sz w:val="20"/>
          <w:szCs w:val="20"/>
          <w:color w:val="auto"/>
        </w:rPr>
      </w:pPr>
    </w:p>
    <w:p>
      <w:pPr>
        <w:ind w:right="180" w:firstLine="450"/>
        <w:spacing w:after="0" w:line="297" w:lineRule="auto"/>
        <w:rPr>
          <w:sz w:val="20"/>
          <w:szCs w:val="20"/>
          <w:color w:val="auto"/>
        </w:rPr>
      </w:pPr>
      <w:r>
        <w:rPr>
          <w:rFonts w:ascii="Arial" w:cs="Arial" w:eastAsia="Arial" w:hAnsi="Arial"/>
          <w:sz w:val="16"/>
          <w:szCs w:val="16"/>
          <w:color w:val="auto"/>
        </w:rPr>
        <w:t>In the three months ended March 31, 2014, net cash provided by operating activities was $15.6 million including net income of $4.9 million and non-cash equity-based compensation of $3.1 million. Cash inflows from changes in operating assets and liabilities included an increase in deferred revenue of $7.7 million, primarily related to an increase in orders for both subscription and On Demand products. Accounts payable and other operating liabilities increased by $2.2 million as trade payables grew in both average size and volume and payroll costs increased due to headcount expansion. Contributor royalties payable increased by $1.8 million due to increasing royalty expenses generated by increased customer download activity.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140" w:firstLine="450"/>
        <w:spacing w:after="0" w:line="259" w:lineRule="auto"/>
        <w:rPr>
          <w:sz w:val="20"/>
          <w:szCs w:val="20"/>
          <w:color w:val="auto"/>
        </w:rPr>
      </w:pPr>
      <w:r>
        <w:rPr>
          <w:rFonts w:ascii="Arial" w:cs="Arial" w:eastAsia="Arial" w:hAnsi="Arial"/>
          <w:sz w:val="18"/>
          <w:szCs w:val="18"/>
          <w:color w:val="auto"/>
        </w:rPr>
        <w:t>Cash used in investing activities in the three months ended March 31, 2014 was $21.5 million consisting of capital expenditures to purchase software and equipment related to our data centers, as well as capitalization of leasehold improvements and software and website development costs in the amount of $10.9 million. We paid $10.1 million to acquire certain assets and certain liabilities of WebDAM. Additionally, we purchased short-term investments, net of sales, in the amount of $0.6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20" w:firstLine="450"/>
        <w:spacing w:after="0" w:line="264" w:lineRule="auto"/>
        <w:rPr>
          <w:sz w:val="20"/>
          <w:szCs w:val="20"/>
          <w:color w:val="auto"/>
        </w:rPr>
      </w:pPr>
      <w:r>
        <w:rPr>
          <w:rFonts w:ascii="Arial" w:cs="Arial" w:eastAsia="Arial" w:hAnsi="Arial"/>
          <w:sz w:val="18"/>
          <w:szCs w:val="18"/>
          <w:color w:val="auto"/>
        </w:rPr>
        <w:t>Cash provided in financing activity in the three months ended March 31, 2014 was $8.5 million consisting of proceeds of $2.2 million from the issuance of common stock in connection with the exercise of stock options and the corresponding excess tax benefit of $6.3 million as result of the subsequent disposition of the common stock issued.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We lease office facilities in New York, New York under operating lease agreements that expire on various dates between 2014 and 2024. We also have several co-location agreements with third-party hosting facilities that between 2014 and 2017. We do not have any material capital lease obligations, and our property, equipment and software have been purchased primarily with cash. We anticipate expanding our co-location facilities as our revenue and customer base grow.</w:t>
      </w:r>
    </w:p>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March 21, 2013, we entered into an operating lease agreement to lease office facility in New York City. The lease commenced in August 2013 and has a lease term of 11 years. The aggregate future minimum lease payment is approximately $38.2 million. The Company also entered into a letter of credit in the amount of $1.8 million as a security deposit for the leased facility. The letter of credit was collateralized by $1.8 million of cash as of March 31, 2014, and as such, is reported as restricted cash on the consolidated balance sheet as of March 31, 2014.</w:t>
      </w:r>
    </w:p>
    <w:p>
      <w:pPr>
        <w:sectPr>
          <w:pgSz w:w="11900" w:h="16838" w:orient="portrait"/>
          <w:cols w:equalWidth="0" w:num="1">
            <w:col w:w="11400"/>
          </w:cols>
          <w:pgMar w:left="240" w:top="125" w:right="259" w:bottom="0" w:gutter="0" w:footer="0" w:header="0"/>
        </w:sectPr>
      </w:pPr>
    </w:p>
    <w:bookmarkStart w:id="19" w:name="page20"/>
    <w:bookmarkEnd w:id="19"/>
    <w:p>
      <w:pPr>
        <w:spacing w:after="0" w:line="9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March 31, 2014, the Company’s unconditional purchase obligations for the remainder of 2014 and for the years ending December 31, 2015, 2016 and 2017 are $4,668, $4,447, $1,343 and $64,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we did not have any off-balance sheet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investments include cash, cash equivalents and short-term investments. Our cash and cash equivalents consist of cash and money market accounts. Short-term investments consist of commercial paper. The primary objective of our investment activities is to preserve principal while maximizing income without significantly increasing risk. Because our cash, cash equivalents and short-term investments have a maximum term of ninety days, our portfolio’s fair value is not particularly sensitive to interest rate changes. We do not enter into investments for speculative purposes. We determined that the nominal difference in basis points for investing our cash, cash equivalents and short-term investments in longer-term investments did not warrant a change in our investment strategy. In future periods, we will continue to evaluate our investment policy in order to ensure that we continue to meet our overall objectives.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borrowings as of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Revenues derived from customers residing outside North America as a percentage of total revenue was approximately 64% for both the three months ended March 31, 2014 and 2013, respectively. Our sales to international customers are denominated in multiple currencies, including but not limited to the U.S. Dollar, the Euro, the British Pound and the Yen. Revenue denominated in foreign currencies as a percentage of total revenue was approximately 34% and 33% for the three months ended March 31, 2014 and 2013, respectively. We have foreign currency risks related to foreign-currency denominated revenues. All amounts owed and paid to our foreign contributors are denominated and paid in the U.S. Dollar. Accordingly, changes in exchange rates will affect our revenue and other operating results as expressed in the U.S. Dollar. Based on our foreign currency denominated revenue for the three months ended</w:t>
      </w:r>
    </w:p>
    <w:p>
      <w:pPr>
        <w:spacing w:after="0" w:line="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March 31, 2014, a 10% change in the exchange rate of the U.S. Dollar against all foreign currency denominated revenues would result in an approximately 3% impact on our revenue.</w:t>
      </w:r>
    </w:p>
    <w:p>
      <w:pPr>
        <w:spacing w:after="0" w:line="1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Because our functional currency is the U.S. Dollar, we have not experienced material fluctuations in our net income as a result of foreign currency transaction gains or losses. During the three months ended March 31, 2013 and 2012,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has established foreign subsidiaries in various countries around the world, and as a result the financial statements of these recently created foreign subsidiaries are recorded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average exchange rates prevailing during the fiscal period, and assets and liabilities are translated at fiscal period-end exchange rates. Resulting translation adjustments are included as a component of accumulated other comprehensive income (loss) in stockholders’ equity. During the three months ended March 31, 2013, the Company had determined that the U.S. Dollar was its functional currency worldwide and therefore did not have any foreign currency translation adjustment. During the three months ended March 31, 2014, the Company’s foreign currency transaction activity was immaterial to its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w:t>
      </w:r>
    </w:p>
    <w:p>
      <w:pPr>
        <w:sectPr>
          <w:pgSz w:w="11900" w:h="16933" w:orient="portrait"/>
          <w:cols w:equalWidth="0" w:num="1">
            <w:col w:w="11420"/>
          </w:cols>
          <w:pgMar w:left="240" w:top="125" w:right="239" w:bottom="0" w:gutter="0" w:footer="0" w:header="0"/>
        </w:sectPr>
      </w:pPr>
    </w:p>
    <w:bookmarkStart w:id="20" w:name="page21"/>
    <w:bookmarkEnd w:id="20"/>
    <w:p>
      <w:pPr>
        <w:spacing w:after="0" w:line="4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and management necessarily applies its judgment in evaluating the cost-benefit relationship of possible controls and procedures. Based on the evaluation of our disclosure controls and procedures as of March 31, 2014,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Annual Report on Form 10-K for the fiscal year ended December 31, 2013, which could materially affect our business, financial condition or future results. There are no material changes to the risk factors described in our Annual Report.</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There has been no material change in the planned use of proceeds from the Company’s IPO and follow-on offering from that described in the final prospectuses filed with the SEC pursuant to Rule 424(b) on October 11, 2012 and September 20, 2013, respectively. On March 25, 2013, we used a portion of our IPO proceeds, together with a portion of our cash from operations, to pay off the remaining outstanding balance of $6.0 million on our term loan facility with Silicon Valley Bank. See Part II, Item 7 of the Annual Report on Form 10-K under the heading “Management’s Discussion and Analysis of Financial Condition and Results of Operations—Liquidity and Capital Resources.”</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 which is incorporated herein by reference.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SHUTTERSTOCK, INC.</w:t>
      </w:r>
    </w:p>
    <w:p>
      <w:pPr>
        <w:spacing w:after="0" w:line="229"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Dated: May 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Oringer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ectPr>
          <w:pgSz w:w="11900" w:h="16887"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Dated: May 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E. Bixby</w:t>
      </w:r>
    </w:p>
    <w:p>
      <w:pPr>
        <w:sectPr>
          <w:pgSz w:w="11900" w:h="16887" w:orient="portrait"/>
          <w:cols w:equalWidth="0" w:num="1">
            <w:col w:w="11380"/>
          </w:cols>
          <w:pgMar w:left="240" w:top="125" w:right="27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5"/>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8"/>
                <w:szCs w:val="18"/>
                <w:color w:val="auto"/>
              </w:rPr>
              <w:t>34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gridSpan w:val="2"/>
          </w:tcPr>
          <w:p>
            <w:pPr>
              <w:spacing w:after="0"/>
              <w:rPr>
                <w:sz w:val="24"/>
                <w:szCs w:val="24"/>
                <w:color w:val="auto"/>
              </w:rPr>
            </w:pPr>
          </w:p>
        </w:tc>
        <w:tc>
          <w:tcPr>
            <w:tcW w:w="9760" w:type="dxa"/>
            <w:vAlign w:val="bottom"/>
            <w:gridSpan w:val="2"/>
            <w:vMerge w:val="restart"/>
          </w:tcPr>
          <w:p>
            <w:pPr>
              <w:ind w:left="428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1"/>
              </w:rPr>
              <w:t>Certification of Chief Executive Officer pursuant to Exchange Act Rules 13a-14(a) and 15d-14(a), as adopted pursuant to Section 302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Certification of Chief Financial Officer pursuant to Exchange Act Rules 13a-14(a) and 15d-14(a), as adopted pursuant to Section 302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Certifications of Chief Executive Officer pursuant to 18 U.S.C. Section 1350, as adopted pursuant to Section 906 of the Sarbanes-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Certifications of Chief Financial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-4015105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-4015105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Securities Act of 1933 or the Securities Exchange Act of 1934, irrespective of any general incorporation language in any filings.</w:t>
      </w:r>
    </w:p>
    <w:p>
      <w:pPr>
        <w:spacing w:after="0" w:line="9" w:lineRule="exact"/>
        <w:rPr>
          <w:sz w:val="20"/>
          <w:szCs w:val="20"/>
          <w:color w:val="auto"/>
        </w:rPr>
      </w:pPr>
    </w:p>
    <w:p>
      <w:pPr>
        <w:ind w:left="340" w:right="180" w:hanging="332"/>
        <w:spacing w:after="0" w:line="277"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Jonathan Oringer,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9, 2014</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Timothy E. Bixby,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9, 2014</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March 31, 2014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9, 2014</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March 31, 2014 as filed with the Securities and Exchange Commission on the date hereof (the “Report”), I, Timothy E. Bixby,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9, 2014</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2019-12-08T04:52:03Z</dcterms:created>
  <dcterms:modified xsi:type="dcterms:W3CDTF">2019-12-08T04:52:03Z</dcterms:modified>
</cp:coreProperties>
</file>