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395605</wp:posOffset>
            </wp:positionH>
            <wp:positionV relativeFrom="page">
              <wp:posOffset>890905</wp:posOffset>
            </wp:positionV>
            <wp:extent cx="70084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8495" cy="6985"/>
                    </a:xfrm>
                    <a:prstGeom prst="rect">
                      <a:avLst/>
                    </a:prstGeom>
                    <a:noFill/>
                  </pic:spPr>
                </pic:pic>
              </a:graphicData>
            </a:graphic>
          </wp:anchor>
        </w:drawing>
        <w:drawing>
          <wp:anchor simplePos="0" relativeHeight="251657728" behindDoc="1" locked="0" layoutInCell="0" allowOverlap="1">
            <wp:simplePos x="0" y="0"/>
            <wp:positionH relativeFrom="page">
              <wp:posOffset>395605</wp:posOffset>
            </wp:positionH>
            <wp:positionV relativeFrom="page">
              <wp:posOffset>857250</wp:posOffset>
            </wp:positionV>
            <wp:extent cx="70084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8495" cy="13335"/>
                    </a:xfrm>
                    <a:prstGeom prst="rect">
                      <a:avLst/>
                    </a:prstGeom>
                    <a:noFill/>
                  </pic:spPr>
                </pic:pic>
              </a:graphicData>
            </a:graphic>
          </wp:anchor>
        </w:drawing>
      </w:r>
    </w:p>
    <w:p>
      <w:pPr>
        <w:jc w:val="center"/>
        <w:ind w:right="-5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86"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1080135</wp:posOffset>
            </wp:positionH>
            <wp:positionV relativeFrom="paragraph">
              <wp:posOffset>83820</wp:posOffset>
            </wp:positionV>
            <wp:extent cx="46081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11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1080135</wp:posOffset>
            </wp:positionH>
            <wp:positionV relativeFrom="paragraph">
              <wp:posOffset>97790</wp:posOffset>
            </wp:positionV>
            <wp:extent cx="460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9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9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41" w:lineRule="exact"/>
        <w:rPr>
          <w:sz w:val="24"/>
          <w:szCs w:val="24"/>
          <w:color w:val="auto"/>
        </w:rPr>
      </w:pPr>
    </w:p>
    <w:tbl>
      <w:tblPr>
        <w:tblLayout w:type="fixed"/>
        <w:tblInd w:w="40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February 23, 2026</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3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60" w:type="dxa"/>
            <w:vAlign w:val="bottom"/>
          </w:tcPr>
          <w:p>
            <w:pPr>
              <w:jc w:val="center"/>
              <w:ind w:left="266"/>
              <w:spacing w:after="0"/>
              <w:rPr>
                <w:sz w:val="20"/>
                <w:szCs w:val="20"/>
                <w:color w:val="auto"/>
              </w:rPr>
            </w:pPr>
            <w:r>
              <w:rPr>
                <w:rFonts w:ascii="Times New Roman" w:cs="Times New Roman" w:eastAsia="Times New Roman" w:hAnsi="Times New Roman"/>
                <w:sz w:val="25"/>
                <w:szCs w:val="25"/>
                <w:b w:val="1"/>
                <w:bCs w:val="1"/>
                <w:color w:val="auto"/>
              </w:rPr>
              <w:t>Shutterstock, Inc.</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60" w:type="dxa"/>
            <w:vAlign w:val="bottom"/>
          </w:tcPr>
          <w:p>
            <w:pPr>
              <w:jc w:val="center"/>
              <w:ind w:left="22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3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2"/>
        </w:trPr>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001-35669</w:t>
            </w: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80-0812659</w:t>
            </w:r>
          </w:p>
        </w:tc>
        <w:tc>
          <w:tcPr>
            <w:tcW w:w="0" w:type="dxa"/>
            <w:vAlign w:val="bottom"/>
          </w:tcPr>
          <w:p>
            <w:pPr>
              <w:spacing w:after="0"/>
              <w:rPr>
                <w:sz w:val="1"/>
                <w:szCs w:val="1"/>
                <w:color w:val="auto"/>
              </w:rPr>
            </w:pPr>
          </w:p>
        </w:tc>
      </w:tr>
      <w:tr>
        <w:trPr>
          <w:trHeight w:val="257"/>
        </w:trPr>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(State or other jurisdiction of incorporation)</w:t>
            </w:r>
          </w:p>
        </w:tc>
        <w:tc>
          <w:tcPr>
            <w:tcW w:w="5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(Commission File Number)</w:t>
            </w:r>
          </w:p>
        </w:tc>
        <w:tc>
          <w:tcPr>
            <w:tcW w:w="1880" w:type="dxa"/>
            <w:vAlign w:val="bottom"/>
            <w:gridSpan w:val="2"/>
          </w:tcPr>
          <w:p>
            <w:pPr>
              <w:jc w:val="center"/>
              <w:ind w:left="256"/>
              <w:spacing w:after="0"/>
              <w:rPr>
                <w:sz w:val="20"/>
                <w:szCs w:val="20"/>
                <w:color w:val="auto"/>
              </w:rPr>
            </w:pPr>
            <w:r>
              <w:rPr>
                <w:rFonts w:ascii="Times New Roman" w:cs="Times New Roman" w:eastAsia="Times New Roman" w:hAnsi="Times New Roman"/>
                <w:sz w:val="11"/>
                <w:szCs w:val="11"/>
                <w:color w:val="auto"/>
              </w:rPr>
              <w:t>(IRS Employer Identification No.)</w:t>
            </w: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5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6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9"/>
              </w:rPr>
              <w:t>350 Fifth Avenue, 20th Floor</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6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9"/>
              </w:rPr>
              <w:t>New York, NY 10118</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60" w:type="dxa"/>
            <w:vAlign w:val="bottom"/>
          </w:tcPr>
          <w:p>
            <w:pPr>
              <w:jc w:val="center"/>
              <w:ind w:left="266"/>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(646) 710-3417</w:t>
            </w: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60" w:type="dxa"/>
            <w:vAlign w:val="bottom"/>
          </w:tcPr>
          <w:p>
            <w:pPr>
              <w:jc w:val="center"/>
              <w:ind w:left="26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60" w:type="dxa"/>
            <w:vAlign w:val="bottom"/>
          </w:tcPr>
          <w:p>
            <w:pPr>
              <w:jc w:val="center"/>
              <w:ind w:left="266"/>
              <w:spacing w:after="0"/>
              <w:rPr>
                <w:sz w:val="20"/>
                <w:szCs w:val="20"/>
                <w:color w:val="auto"/>
              </w:rPr>
            </w:pPr>
            <w:r>
              <w:rPr>
                <w:rFonts w:ascii="Times New Roman" w:cs="Times New Roman" w:eastAsia="Times New Roman" w:hAnsi="Times New Roman"/>
                <w:sz w:val="14"/>
                <w:szCs w:val="14"/>
                <w:color w:val="auto"/>
              </w:rPr>
              <w:t>Not applicable</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60" w:type="dxa"/>
            <w:vAlign w:val="bottom"/>
          </w:tcPr>
          <w:p>
            <w:pPr>
              <w:jc w:val="center"/>
              <w:ind w:left="266"/>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jc w:val="both"/>
        <w:ind w:left="20" w:right="4780" w:hanging="3"/>
        <w:spacing w:after="0" w:line="188" w:lineRule="exact"/>
        <w:tabs>
          <w:tab w:leader="none" w:pos="5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Written communications pursuant to Rule 425 under the Securities Act (17 CFR 230.425)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Soliciting material pursuant to Rule 14a-12 under the Exchange Act (17 CFR 240.14a-12)</w:t>
      </w:r>
    </w:p>
    <w:p>
      <w:pPr>
        <w:spacing w:after="0" w:line="1" w:lineRule="exact"/>
        <w:rPr>
          <w:rFonts w:ascii="MS PGothic" w:cs="MS PGothic" w:eastAsia="MS PGothic" w:hAnsi="MS PGothic"/>
          <w:sz w:val="14"/>
          <w:szCs w:val="14"/>
          <w:color w:val="auto"/>
        </w:rPr>
      </w:pPr>
    </w:p>
    <w:p>
      <w:pPr>
        <w:jc w:val="both"/>
        <w:ind w:left="20" w:right="3520"/>
        <w:spacing w:after="0" w:line="186"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14d-2(b) under the Exchange Act (17 CFR 240.14d-2(b))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13e-4(c) under the Exchange Act (17 CFR 240.13e-4(c))</w:t>
      </w:r>
    </w:p>
    <w:p>
      <w:pPr>
        <w:spacing w:after="0" w:line="5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780" w:type="dxa"/>
            <w:vAlign w:val="bottom"/>
            <w:tcBorders>
              <w:top w:val="single" w:sz="8" w:color="auto"/>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Class</w:t>
            </w:r>
          </w:p>
        </w:tc>
        <w:tc>
          <w:tcPr>
            <w:tcW w:w="2000" w:type="dxa"/>
            <w:vAlign w:val="bottom"/>
            <w:tcBorders>
              <w:top w:val="single" w:sz="8" w:color="auto"/>
              <w:bottom w:val="single" w:sz="8" w:color="auto"/>
            </w:tcBorders>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400" w:type="dxa"/>
            <w:vAlign w:val="bottom"/>
            <w:tcBorders>
              <w:top w:val="single" w:sz="8" w:color="auto"/>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45"/>
        </w:trPr>
        <w:tc>
          <w:tcPr>
            <w:tcW w:w="3780" w:type="dxa"/>
            <w:vAlign w:val="bottom"/>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Common Stock, $0.01 par value per share</w:t>
            </w:r>
          </w:p>
        </w:tc>
        <w:tc>
          <w:tcPr>
            <w:tcW w:w="200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w w:val="99"/>
              </w:rPr>
              <w:t>SSTK</w:t>
            </w:r>
          </w:p>
        </w:tc>
        <w:tc>
          <w:tcPr>
            <w:tcW w:w="340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r>
    </w:tbl>
    <w:p>
      <w:pPr>
        <w:spacing w:after="0" w:line="102" w:lineRule="exact"/>
        <w:rPr>
          <w:sz w:val="24"/>
          <w:szCs w:val="24"/>
          <w:color w:val="auto"/>
        </w:rPr>
      </w:pPr>
    </w:p>
    <w:p>
      <w:pPr>
        <w:ind w:left="3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ind w:left="300" w:hanging="283"/>
        <w:spacing w:after="0"/>
        <w:tabs>
          <w:tab w:leader="none" w:pos="3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61" w:lineRule="exact"/>
        <w:rPr>
          <w:rFonts w:ascii="MS PGothic" w:cs="MS PGothic" w:eastAsia="MS PGothic" w:hAnsi="MS PGothic"/>
          <w:sz w:val="14"/>
          <w:szCs w:val="14"/>
          <w:color w:val="auto"/>
        </w:rPr>
      </w:pPr>
    </w:p>
    <w:p>
      <w:pPr>
        <w:ind w:left="300" w:right="280" w:hanging="283"/>
        <w:spacing w:after="0" w:line="239" w:lineRule="auto"/>
        <w:tabs>
          <w:tab w:leader="none" w:pos="3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1342390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236855</wp:posOffset>
            </wp:positionV>
            <wp:extent cx="684530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5300"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216535</wp:posOffset>
            </wp:positionV>
            <wp:extent cx="68453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5300" cy="6985"/>
                    </a:xfrm>
                    <a:prstGeom prst="rect">
                      <a:avLst/>
                    </a:prstGeom>
                    <a:noFill/>
                  </pic:spPr>
                </pic:pic>
              </a:graphicData>
            </a:graphic>
          </wp:anchor>
        </w:drawing>
      </w:r>
    </w:p>
    <w:p>
      <w:pPr>
        <w:sectPr>
          <w:pgSz w:w="11900" w:h="16838" w:orient="portrait"/>
          <w:cols w:equalWidth="0" w:num="1">
            <w:col w:w="10400"/>
          </w:cols>
          <w:pgMar w:left="620" w:top="1440" w:right="879" w:bottom="1440" w:gutter="0" w:footer="0" w:header="0"/>
        </w:sectPr>
      </w:pPr>
    </w:p>
    <w:bookmarkStart w:id="1" w:name="page2"/>
    <w:bookmarkEnd w:id="1"/>
    <w:p>
      <w:pPr>
        <w:ind w:left="340"/>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170" w:lineRule="exact"/>
        <w:rPr>
          <w:sz w:val="20"/>
          <w:szCs w:val="20"/>
          <w:color w:val="auto"/>
        </w:rPr>
      </w:pPr>
    </w:p>
    <w:p>
      <w:pPr>
        <w:ind w:right="580" w:firstLine="318"/>
        <w:spacing w:after="0" w:line="287" w:lineRule="auto"/>
        <w:rPr>
          <w:sz w:val="20"/>
          <w:szCs w:val="20"/>
          <w:color w:val="auto"/>
        </w:rPr>
      </w:pPr>
      <w:r>
        <w:rPr>
          <w:rFonts w:ascii="Times New Roman" w:cs="Times New Roman" w:eastAsia="Times New Roman" w:hAnsi="Times New Roman"/>
          <w:sz w:val="14"/>
          <w:szCs w:val="14"/>
          <w:color w:val="auto"/>
        </w:rPr>
        <w:t>On February 23, 2026, Shutterstock, Inc. (“Shutterstock”) and Getty Images Holdings, Inc. (“Getty Images”) issued a press release (“Press Release”) announcing that the United States Department of Justice (DOJ) concluded its review of the previously announced merger and the applicable waiting period under the Hart-Scott-Rodino Act has expired, without conditions.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copy of the Press Release is attached as Exhibit 99.1 hereto and is incorporated herein by reference.</w:t>
      </w:r>
    </w:p>
    <w:p>
      <w:pPr>
        <w:spacing w:after="0" w:line="123"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57" w:lineRule="exact"/>
        <w:rPr>
          <w:sz w:val="20"/>
          <w:szCs w:val="20"/>
          <w:color w:val="auto"/>
        </w:rPr>
      </w:pPr>
    </w:p>
    <w:p>
      <w:pPr>
        <w:ind w:left="600" w:hanging="277"/>
        <w:spacing w:after="0"/>
        <w:tabs>
          <w:tab w:leader="none" w:pos="6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ind w:left="800"/>
        <w:spacing w:after="0"/>
        <w:tabs>
          <w:tab w:leader="none" w:pos="6260" w:val="left"/>
        </w:tabs>
        <w:rPr>
          <w:sz w:val="20"/>
          <w:szCs w:val="20"/>
          <w:color w:val="auto"/>
        </w:rPr>
      </w:pPr>
      <w:r>
        <w:rPr>
          <w:rFonts w:ascii="Times New Roman" w:cs="Times New Roman" w:eastAsia="Times New Roman" w:hAnsi="Times New Roman"/>
          <w:sz w:val="11"/>
          <w:szCs w:val="11"/>
          <w:b w:val="1"/>
          <w:bCs w:val="1"/>
          <w:color w:val="auto"/>
        </w:rPr>
        <w:t>Exhibit No.</w:t>
      </w:r>
      <w:r>
        <w:rPr>
          <w:sz w:val="20"/>
          <w:szCs w:val="20"/>
          <w:color w:val="auto"/>
        </w:rPr>
        <w:tab/>
      </w:r>
      <w:r>
        <w:rPr>
          <w:rFonts w:ascii="Times New Roman" w:cs="Times New Roman" w:eastAsia="Times New Roman" w:hAnsi="Times New Roman"/>
          <w:sz w:val="11"/>
          <w:szCs w:val="11"/>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86995</wp:posOffset>
            </wp:positionV>
            <wp:extent cx="69729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93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10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9"/>
              </w:rPr>
              <w:t>99.1</w:t>
            </w:r>
          </w:p>
        </w:tc>
        <w:tc>
          <w:tcPr>
            <w:tcW w:w="5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issued by Shutterstock Inc. and Getty Images Holdings, Inc., dated February 23, 2026.</w:t>
            </w:r>
          </w:p>
        </w:tc>
      </w:tr>
      <w:tr>
        <w:trPr>
          <w:trHeight w:val="308"/>
        </w:trPr>
        <w:tc>
          <w:tcPr>
            <w:tcW w:w="110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95"/>
              </w:rPr>
              <w:t>104</w:t>
            </w: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r>
    </w:tbl>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96"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4"/>
          <w:szCs w:val="14"/>
          <w:color w:val="auto"/>
        </w:rPr>
        <w:t>The statements in this document,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obtaining applicable regulatory approvals on a timely basis or otherwise.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in the case of Getty Images for the fiscal year ended December 31, 2024 and in the case of Shutterstock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Additional Information about the Merger and Where to Find It</w:t>
      </w:r>
    </w:p>
    <w:p>
      <w:pPr>
        <w:spacing w:after="0" w:line="96" w:lineRule="exact"/>
        <w:rPr>
          <w:sz w:val="20"/>
          <w:szCs w:val="20"/>
          <w:color w:val="auto"/>
        </w:rPr>
      </w:pPr>
    </w:p>
    <w:p>
      <w:pPr>
        <w:jc w:val="both"/>
        <w:ind w:right="20" w:firstLine="318"/>
        <w:spacing w:after="0" w:line="260" w:lineRule="auto"/>
        <w:rPr>
          <w:sz w:val="20"/>
          <w:szCs w:val="20"/>
          <w:color w:val="auto"/>
        </w:rPr>
      </w:pPr>
      <w:r>
        <w:rPr>
          <w:rFonts w:ascii="Times New Roman" w:cs="Times New Roman" w:eastAsia="Times New Roman" w:hAnsi="Times New Roman"/>
          <w:sz w:val="14"/>
          <w:szCs w:val="14"/>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w:t>
      </w:r>
    </w:p>
    <w:p>
      <w:pPr>
        <w:ind w:right="20"/>
        <w:spacing w:after="0" w:line="254" w:lineRule="auto"/>
        <w:rPr>
          <w:sz w:val="20"/>
          <w:szCs w:val="20"/>
          <w:color w:val="auto"/>
        </w:rPr>
      </w:pPr>
      <w:r>
        <w:rPr>
          <w:rFonts w:ascii="Times New Roman" w:cs="Times New Roman" w:eastAsia="Times New Roman" w:hAnsi="Times New Roman"/>
          <w:sz w:val="14"/>
          <w:szCs w:val="14"/>
          <w:color w:val="auto"/>
        </w:rPr>
        <w:t>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w:t>
      </w: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 w:name="page3"/>
    <w:bookmarkEnd w:id="2"/>
    <w:p>
      <w:pPr>
        <w:spacing w:after="0" w:line="270" w:lineRule="auto"/>
        <w:rPr>
          <w:sz w:val="20"/>
          <w:szCs w:val="20"/>
          <w:color w:val="auto"/>
        </w:rPr>
      </w:pPr>
      <w:r>
        <w:rPr>
          <w:rFonts w:ascii="Times New Roman" w:cs="Times New Roman" w:eastAsia="Times New Roman" w:hAnsi="Times New Roman"/>
          <w:sz w:val="14"/>
          <w:szCs w:val="14"/>
          <w:color w:val="auto"/>
        </w:rPr>
        <w:t>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investor.shutterstock.com or by contacting Shutterstock’s Investor Relations department by email at IR@Shutterstock.com.</w:t>
      </w: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4" w:right="399" w:bottom="1440" w:gutter="0" w:footer="0" w:header="0"/>
        </w:sectPr>
      </w:pPr>
    </w:p>
    <w:bookmarkStart w:id="3" w:name="page4"/>
    <w:bookmarkEnd w:id="3"/>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79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SHUTTERSTOCK, INC.</w:t>
            </w:r>
          </w:p>
        </w:tc>
      </w:tr>
      <w:tr>
        <w:trPr>
          <w:trHeight w:val="54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Dated: February 23, 2026</w:t>
            </w:r>
          </w:p>
        </w:tc>
        <w:tc>
          <w:tcPr>
            <w:tcW w:w="22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By:</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Rik Powell</w:t>
            </w:r>
          </w:p>
        </w:tc>
      </w:tr>
      <w:tr>
        <w:trPr>
          <w:trHeight w:val="167"/>
        </w:trPr>
        <w:tc>
          <w:tcPr>
            <w:tcW w:w="3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Rik Powell</w:t>
            </w:r>
          </w:p>
        </w:tc>
      </w:tr>
      <w:tr>
        <w:trPr>
          <w:trHeight w:val="184"/>
        </w:trPr>
        <w:tc>
          <w:tcPr>
            <w:tcW w:w="3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040"/>
          </w:cols>
          <w:pgMar w:left="620" w:top="1226" w:right="2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7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2026-02-23T15:48:02Z</dcterms:created>
  <dcterms:modified xsi:type="dcterms:W3CDTF">2026-02-23T15:48:02Z</dcterms:modified>
</cp:coreProperties>
</file>