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ind w:left="0" w:right="0" w:firstLine="45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45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120"/>
        <w:ind w:left="0" w:right="0" w:firstLine="45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120"/>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5440" w:type="dxa"/>
        <w:jc w:val="center"/>
        <w:tblInd w:w="0" w:type="dxa"/>
        <w:tblLayout w:type="fixed"/>
        <w:tblCellMar>
          <w:top w:w="28" w:type="dxa"/>
          <w:left w:w="28" w:type="dxa"/>
          <w:bottom w:w="28" w:type="dxa"/>
          <w:right w:w="28" w:type="dxa"/>
        </w:tblCellMar>
      </w:tblPr>
      <w:tblGrid>
        <w:gridCol w:w="1435"/>
        <w:gridCol w:w="1261"/>
        <w:gridCol w:w="1264"/>
        <w:gridCol w:w="433"/>
        <w:gridCol w:w="433"/>
        <w:gridCol w:w="614"/>
      </w:tblGrid>
      <w:tr>
        <w:trPr/>
        <w:tc>
          <w:tcPr>
            <w:tcW w:w="143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36"/>
              </w:rPr>
            </w:pPr>
            <w:r>
              <w:rPr>
                <w:rFonts w:ascii="Times New Roman;sans-serif" w:hAnsi="Times New Roman;sans-serif"/>
                <w:b/>
                <w:color w:val="000000"/>
                <w:sz w:val="36"/>
              </w:rPr>
              <w:t>FORM</w:t>
            </w:r>
          </w:p>
        </w:tc>
        <w:tc>
          <w:tcPr>
            <w:tcW w:w="14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36"/>
              </w:rPr>
            </w:pPr>
            <w:r>
              <w:rPr>
                <w:rFonts w:ascii="Times New Roman;sans-serif" w:hAnsi="Times New Roman;sans-serif"/>
                <w:b/>
                <w:color w:val="000000"/>
                <w:sz w:val="36"/>
              </w:rPr>
              <w:t>8-K</w:t>
            </w:r>
          </w:p>
        </w:tc>
      </w:tr>
      <w:tr>
        <w:trPr/>
        <w:tc>
          <w:tcPr>
            <w:tcW w:w="544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CURRENT REPORT</w:t>
              <w:br/>
              <w:t>Pursuant to Section 13 or 15(d) of the</w:t>
              <w:br/>
              <w:t>Securities Exchange Act of 1934</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 of Report (Date of earliest event reported):</w:t>
            </w:r>
          </w:p>
        </w:tc>
        <w:tc>
          <w:tcPr>
            <w:tcW w:w="14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8, 2023</w:t>
            </w:r>
          </w:p>
        </w:tc>
      </w:tr>
      <w:tr>
        <w:trPr/>
        <w:tc>
          <w:tcPr>
            <w:tcW w:w="5440"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6"/>
              </w:rPr>
            </w:pPr>
            <w:r>
              <w:rPr>
                <w:rFonts w:ascii="Times New Roman;sans-serif" w:hAnsi="Times New Roman;sans-serif"/>
                <w:b/>
                <w:color w:val="000000"/>
                <w:sz w:val="36"/>
              </w:rPr>
              <w:t>Shutterstock, Inc.</w:t>
            </w:r>
          </w:p>
        </w:tc>
      </w:tr>
      <w:tr>
        <w:trPr/>
        <w:tc>
          <w:tcPr>
            <w:tcW w:w="5440"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(Exact name of registrant as specified in its charter)</w:t>
            </w:r>
            <w:r>
              <w:rPr>
                <w:color w:val="000000"/>
              </w:rPr>
              <w:t> </w:t>
            </w:r>
          </w:p>
        </w:tc>
      </w:tr>
    </w:tbl>
    <w:tbl>
      <w:tblPr>
        <w:tblW w:w="5062" w:type="dxa"/>
        <w:jc w:val="left"/>
        <w:tblInd w:w="0" w:type="dxa"/>
        <w:tblLayout w:type="fixed"/>
        <w:tblCellMar>
          <w:top w:w="28" w:type="dxa"/>
          <w:left w:w="28" w:type="dxa"/>
          <w:bottom w:w="28" w:type="dxa"/>
          <w:right w:w="28" w:type="dxa"/>
        </w:tblCellMar>
      </w:tblPr>
      <w:tblGrid>
        <w:gridCol w:w="700"/>
        <w:gridCol w:w="614"/>
        <w:gridCol w:w="621"/>
        <w:gridCol w:w="109"/>
        <w:gridCol w:w="109"/>
        <w:gridCol w:w="109"/>
        <w:gridCol w:w="343"/>
        <w:gridCol w:w="343"/>
        <w:gridCol w:w="348"/>
        <w:gridCol w:w="109"/>
        <w:gridCol w:w="109"/>
        <w:gridCol w:w="109"/>
        <w:gridCol w:w="420"/>
        <w:gridCol w:w="420"/>
        <w:gridCol w:w="599"/>
      </w:tblGrid>
      <w:tr>
        <w:trPr/>
        <w:tc>
          <w:tcPr>
            <w:tcW w:w="70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001-35669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80-0812659</w:t>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br/>
              <w:t>Identification No.)</w:t>
            </w:r>
          </w:p>
        </w:tc>
      </w:tr>
    </w:tbl>
    <w:p>
      <w:pPr>
        <w:pStyle w:val="TextBody"/>
        <w:bidi w:val="0"/>
        <w:spacing w:lineRule="auto" w:line="288" w:before="0" w:after="0"/>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 xml:space="preserve">350 Fifth Avenue, 20th Floor </w:t>
      </w:r>
    </w:p>
    <w:p>
      <w:pPr>
        <w:pStyle w:val="TextBody"/>
        <w:bidi w:val="0"/>
        <w:spacing w:lineRule="auto" w:line="288" w:before="0" w:after="0"/>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 xml:space="preserve">New York, NY 10118 </w:t>
      </w:r>
    </w:p>
    <w:p>
      <w:pPr>
        <w:pStyle w:val="TextBody"/>
        <w:bidi w:val="0"/>
        <w:spacing w:lineRule="auto" w:line="288" w:before="0" w:after="12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p>
      <w:pPr>
        <w:pStyle w:val="TextBody"/>
        <w:bidi w:val="0"/>
        <w:spacing w:lineRule="auto" w:line="288" w:before="0" w:after="120"/>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 xml:space="preserve">(646) 710-3417 </w:t>
      </w:r>
    </w:p>
    <w:p>
      <w:pPr>
        <w:pStyle w:val="TextBody"/>
        <w:bidi w:val="0"/>
        <w:spacing w:lineRule="auto" w:line="288" w:before="0" w:after="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lineRule="auto" w:line="288" w:before="0" w:after="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0" w:after="0"/>
        <w:ind w:left="0" w:right="0" w:firstLine="45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tbl>
      <w:tblPr>
        <w:tblW w:w="7856" w:type="dxa"/>
        <w:jc w:val="left"/>
        <w:tblInd w:w="0" w:type="dxa"/>
        <w:tblLayout w:type="fixed"/>
        <w:tblCellMar>
          <w:top w:w="28" w:type="dxa"/>
          <w:left w:w="28" w:type="dxa"/>
          <w:bottom w:w="28" w:type="dxa"/>
          <w:right w:w="28" w:type="dxa"/>
        </w:tblCellMar>
      </w:tblPr>
      <w:tblGrid>
        <w:gridCol w:w="1152"/>
        <w:gridCol w:w="1014"/>
        <w:gridCol w:w="1014"/>
        <w:gridCol w:w="454"/>
        <w:gridCol w:w="454"/>
        <w:gridCol w:w="454"/>
        <w:gridCol w:w="971"/>
        <w:gridCol w:w="971"/>
        <w:gridCol w:w="1372"/>
      </w:tblGrid>
      <w:tr>
        <w:trPr/>
        <w:tc>
          <w:tcPr>
            <w:tcW w:w="115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78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Common Stock, $0.01 par value per share</w:t>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SSTK</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New York Stock Exchange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78"/>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p>
            <w:pPr>
              <w:pStyle w:val="TableContents"/>
              <w:bidi w:val="0"/>
              <w:spacing w:before="0" w:after="0"/>
              <w:jc w:val="left"/>
              <w:rPr/>
            </w:pPr>
            <w:r>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450"/>
                        <w:jc w:val="left"/>
                        <w:rPr/>
                      </w:pPr>
                      <w:r>
                        <w:rPr/>
                      </w:r>
                    </w:p>
                  </w:txbxContent>
                </v:textbox>
                <w10:wrap type="none"/>
              </v:rect>
            </w:pict>
          </mc:Fallback>
        </mc:AlternateContent>
      </w:r>
    </w:p>
    <w:p>
      <w:pPr>
        <w:pStyle w:val="TextBody"/>
        <w:bidi w:val="0"/>
        <w:spacing w:before="0" w:after="120"/>
        <w:ind w:left="0" w:right="0" w:firstLine="450"/>
        <w:jc w:val="left"/>
        <w:rPr/>
      </w:pPr>
      <w:r>
        <w:rPr/>
      </w:r>
    </w:p>
    <w:tbl>
      <w:tblPr>
        <w:tblW w:w="5460" w:type="dxa"/>
        <w:jc w:val="left"/>
        <w:tblInd w:w="0" w:type="dxa"/>
        <w:tblLayout w:type="fixed"/>
        <w:tblCellMar>
          <w:top w:w="28" w:type="dxa"/>
          <w:left w:w="28" w:type="dxa"/>
          <w:bottom w:w="28" w:type="dxa"/>
          <w:right w:w="28" w:type="dxa"/>
        </w:tblCellMar>
      </w:tblPr>
      <w:tblGrid>
        <w:gridCol w:w="332"/>
        <w:gridCol w:w="291"/>
        <w:gridCol w:w="293"/>
        <w:gridCol w:w="1329"/>
        <w:gridCol w:w="1329"/>
        <w:gridCol w:w="188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5.07</w:t>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Submission of Matters to a Vote of Security Holders.</w:t>
            </w:r>
          </w:p>
        </w:tc>
      </w:tr>
    </w:tbl>
    <w:p>
      <w:pPr>
        <w:pStyle w:val="TextBody"/>
        <w:bidi w:val="0"/>
        <w:spacing w:lineRule="auto" w:line="288" w:before="0" w:after="24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2023, Shutterstock, Inc. (the “Company”) held its Annual Meeting of Stockholders (the “Annual Meeting”). As of April 10, 2023, the record date for the Annual Meeting, there were a total of 35,994,416 shares of the Company’s common stock outstanding and entitled to vote at the Annual Meeting. At the Annual Meeting, 33,594,681 shares of the Company’s common stock were represented in person or by proxy, and therefore a quorum was present. </w:t>
      </w:r>
    </w:p>
    <w:p>
      <w:pPr>
        <w:pStyle w:val="TextBody"/>
        <w:bidi w:val="0"/>
        <w:spacing w:lineRule="auto" w:line="288" w:before="0" w:after="24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Described below are the matters voted upon at the Annual Meeting and the voting results.</w:t>
      </w:r>
    </w:p>
    <w:p>
      <w:pPr>
        <w:pStyle w:val="TextBody"/>
        <w:bidi w:val="0"/>
        <w:spacing w:lineRule="auto" w:line="288" w:before="0" w:after="240"/>
        <w:ind w:left="0" w:right="0" w:firstLine="45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Proposal One - Election of Directors</w:t>
      </w:r>
    </w:p>
    <w:p>
      <w:pPr>
        <w:pStyle w:val="TextBody"/>
        <w:bidi w:val="0"/>
        <w:spacing w:lineRule="auto" w:line="288" w:before="0" w:after="24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the Annual Meeting, the Company’s stockholders elected the following Class II director nominees to serve on the Company’s Board of Directors until the 2026 Annual Meeting of Stockholders or, in each case, until the director’s successor is duly elected and qualified or, if earlier, his or her death, resignation or removal.  The votes cast were as follows:</w:t>
      </w:r>
    </w:p>
    <w:tbl>
      <w:tblPr>
        <w:tblW w:w="6068" w:type="dxa"/>
        <w:jc w:val="left"/>
        <w:tblInd w:w="0" w:type="dxa"/>
        <w:tblLayout w:type="fixed"/>
        <w:tblCellMar>
          <w:top w:w="28" w:type="dxa"/>
          <w:left w:w="28" w:type="dxa"/>
          <w:bottom w:w="28" w:type="dxa"/>
          <w:right w:w="28" w:type="dxa"/>
        </w:tblCellMar>
      </w:tblPr>
      <w:tblGrid>
        <w:gridCol w:w="521"/>
        <w:gridCol w:w="458"/>
        <w:gridCol w:w="461"/>
        <w:gridCol w:w="109"/>
        <w:gridCol w:w="109"/>
        <w:gridCol w:w="109"/>
        <w:gridCol w:w="344"/>
        <w:gridCol w:w="344"/>
        <w:gridCol w:w="348"/>
        <w:gridCol w:w="109"/>
        <w:gridCol w:w="109"/>
        <w:gridCol w:w="109"/>
        <w:gridCol w:w="309"/>
        <w:gridCol w:w="309"/>
        <w:gridCol w:w="313"/>
        <w:gridCol w:w="109"/>
        <w:gridCol w:w="109"/>
        <w:gridCol w:w="109"/>
        <w:gridCol w:w="492"/>
        <w:gridCol w:w="492"/>
        <w:gridCol w:w="696"/>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Withhold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Deirdre Bigley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27,601,034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4,240,716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1,752,931</w:t>
            </w:r>
          </w:p>
        </w:tc>
      </w:tr>
      <w:tr>
        <w:trPr/>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Alfonse Upshaw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31,095,599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746,151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1,752,931</w:t>
            </w:r>
          </w:p>
        </w:tc>
      </w:tr>
    </w:tbl>
    <w:p>
      <w:pPr>
        <w:pStyle w:val="TextBody"/>
        <w:bidi w:val="0"/>
        <w:spacing w:lineRule="auto" w:line="288" w:before="0" w:after="240"/>
        <w:ind w:left="0" w:right="0" w:firstLine="45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Proposal Two - Advisory Vote on the Compensation of the Company's Named Executive Officers</w:t>
      </w:r>
    </w:p>
    <w:p>
      <w:pPr>
        <w:pStyle w:val="TextBody"/>
        <w:bidi w:val="0"/>
        <w:spacing w:lineRule="auto" w:line="288" w:before="0" w:after="24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the Annual Meeting, the Company’s stockholders approved, on an advisory basis, the compensation of the Company's named executive officers as disclosed in the Company's proxy statement.  The votes cast were as follows:</w:t>
      </w:r>
    </w:p>
    <w:tbl>
      <w:tblPr>
        <w:tblW w:w="5499" w:type="dxa"/>
        <w:jc w:val="left"/>
        <w:tblInd w:w="0" w:type="dxa"/>
        <w:tblLayout w:type="fixed"/>
        <w:tblCellMar>
          <w:top w:w="28" w:type="dxa"/>
          <w:left w:w="28" w:type="dxa"/>
          <w:bottom w:w="28" w:type="dxa"/>
          <w:right w:w="28" w:type="dxa"/>
        </w:tblCellMar>
      </w:tblPr>
      <w:tblGrid>
        <w:gridCol w:w="380"/>
        <w:gridCol w:w="332"/>
        <w:gridCol w:w="339"/>
        <w:gridCol w:w="109"/>
        <w:gridCol w:w="109"/>
        <w:gridCol w:w="109"/>
        <w:gridCol w:w="344"/>
        <w:gridCol w:w="344"/>
        <w:gridCol w:w="348"/>
        <w:gridCol w:w="109"/>
        <w:gridCol w:w="109"/>
        <w:gridCol w:w="109"/>
        <w:gridCol w:w="250"/>
        <w:gridCol w:w="250"/>
        <w:gridCol w:w="251"/>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21,790,265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1,752,931</w:t>
            </w:r>
          </w:p>
        </w:tc>
      </w:tr>
    </w:tbl>
    <w:p>
      <w:pPr>
        <w:pStyle w:val="TextBody"/>
        <w:bidi w:val="0"/>
        <w:spacing w:lineRule="auto" w:line="288" w:before="0" w:after="240"/>
        <w:ind w:left="0" w:right="0" w:firstLine="45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Proposal Three - Ratification of Appointment of Independent Registered Public Accounting Firm</w:t>
      </w:r>
    </w:p>
    <w:p>
      <w:pPr>
        <w:pStyle w:val="TextBody"/>
        <w:bidi w:val="0"/>
        <w:spacing w:lineRule="auto" w:line="288" w:before="0" w:after="24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the Annual Meeting, the Company’s stockholders ratified the Audit Committee’s appointment of PricewaterhouseCoopers LLP as the Company’s independent registered public accounting firm for the fiscal year ending December 31, 2023.  The votes cast were as follows:</w:t>
      </w:r>
    </w:p>
    <w:tbl>
      <w:tblPr>
        <w:tblW w:w="5244" w:type="dxa"/>
        <w:jc w:val="left"/>
        <w:tblInd w:w="0" w:type="dxa"/>
        <w:tblLayout w:type="fixed"/>
        <w:tblCellMar>
          <w:top w:w="28" w:type="dxa"/>
          <w:left w:w="28" w:type="dxa"/>
          <w:bottom w:w="28" w:type="dxa"/>
          <w:right w:w="28" w:type="dxa"/>
        </w:tblCellMar>
      </w:tblPr>
      <w:tblGrid>
        <w:gridCol w:w="380"/>
        <w:gridCol w:w="332"/>
        <w:gridCol w:w="339"/>
        <w:gridCol w:w="109"/>
        <w:gridCol w:w="109"/>
        <w:gridCol w:w="109"/>
        <w:gridCol w:w="259"/>
        <w:gridCol w:w="259"/>
        <w:gridCol w:w="263"/>
        <w:gridCol w:w="109"/>
        <w:gridCol w:w="109"/>
        <w:gridCol w:w="109"/>
        <w:gridCol w:w="250"/>
        <w:gridCol w:w="250"/>
        <w:gridCol w:w="251"/>
        <w:gridCol w:w="109"/>
        <w:gridCol w:w="109"/>
        <w:gridCol w:w="109"/>
        <w:gridCol w:w="492"/>
        <w:gridCol w:w="492"/>
        <w:gridCol w:w="696"/>
      </w:tblGrid>
      <w:tr>
        <w:trPr/>
        <w:tc>
          <w:tcPr>
            <w:tcW w:w="38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33,328,017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248,298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18,366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1,752,931</w:t>
            </w:r>
          </w:p>
        </w:tc>
      </w:tr>
    </w:tbl>
    <w:p>
      <w:pPr>
        <w:pStyle w:val="TextBody"/>
        <w:bidi w:val="0"/>
        <w:spacing w:before="100" w:after="24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Financial Statements and Exhibits.</w:t>
            </w:r>
          </w:p>
        </w:tc>
      </w:tr>
    </w:tbl>
    <w:p>
      <w:pPr>
        <w:pStyle w:val="TextBody"/>
        <w:bidi w:val="0"/>
        <w:spacing w:lineRule="auto" w:line="288" w:before="0" w:after="120"/>
        <w:ind w:left="0" w:right="0" w:firstLine="450"/>
        <w:jc w:val="left"/>
        <w:rPr/>
      </w:pPr>
      <w:r>
        <w:rPr>
          <w:rFonts w:ascii="Times New Roman;sans-serif" w:hAnsi="Times New Roman;sans-serif"/>
          <w:b w:val="false"/>
          <w:color w:val="000000"/>
          <w:sz w:val="20"/>
        </w:rPr>
        <w:t>(d)   </w:t>
      </w:r>
      <w:r>
        <w:rPr>
          <w:rFonts w:ascii="Times New Roman;sans-serif" w:hAnsi="Times New Roman;sans-serif"/>
          <w:b w:val="false"/>
          <w:i/>
          <w:color w:val="000000"/>
          <w:sz w:val="20"/>
        </w:rPr>
        <w:t>Exhibits</w:t>
      </w:r>
      <w:r>
        <w:rPr>
          <w:rFonts w:ascii="Times New Roman;sans-serif" w:hAnsi="Times New Roman;sans-serif"/>
          <w:b w:val="false"/>
          <w:color w:val="000000"/>
          <w:sz w:val="20"/>
        </w:rPr>
        <w:t>.</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104Cover Page Interactive Data File - the cover page XBRL tags are embedded within the Inline XBRL document.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45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450"/>
                        <w:jc w:val="left"/>
                        <w:rPr/>
                      </w:pPr>
                      <w:r>
                        <w:rPr/>
                      </w:r>
                    </w:p>
                  </w:txbxContent>
                </v:textbox>
                <w10:wrap type="none"/>
              </v:rect>
            </w:pict>
          </mc:Fallback>
        </mc:AlternateContent>
      </w:r>
    </w:p>
    <w:p>
      <w:pPr>
        <w:pStyle w:val="TextBody"/>
        <w:bidi w:val="0"/>
        <w:spacing w:before="0" w:after="120"/>
        <w:ind w:left="0" w:right="0" w:firstLine="45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2611"/>
        <w:gridCol w:w="2611"/>
        <w:gridCol w:w="3710"/>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r>
      <w:tr>
        <w:trPr/>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2" w:type="dxa"/>
            <w:gridSpan w:val="3"/>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Cover Page Interactive Data File - the cover page XBRL tags are embedded within the Inline XBRL document. </w:t>
            </w:r>
          </w:p>
        </w:tc>
      </w:tr>
    </w:tbl>
    <w:p>
      <w:pPr>
        <w:pStyle w:val="TextBody"/>
        <w:bidi w:val="0"/>
        <w:spacing w:before="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120"/>
        <w:ind w:left="0" w:right="0" w:firstLine="45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0" w:after="120"/>
        <w:ind w:left="0" w:right="0" w:firstLine="450"/>
        <w:jc w:val="left"/>
        <w:rPr/>
      </w:pPr>
      <w:r>
        <w:rPr>
          <w:color w:val="000000"/>
        </w:rPr>
        <w:t> </w:t>
      </w: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279" w:type="dxa"/>
        <w:jc w:val="left"/>
        <w:tblInd w:w="0" w:type="dxa"/>
        <w:tblLayout w:type="fixed"/>
        <w:tblCellMar>
          <w:top w:w="28" w:type="dxa"/>
          <w:left w:w="28" w:type="dxa"/>
          <w:bottom w:w="28" w:type="dxa"/>
          <w:right w:w="28" w:type="dxa"/>
        </w:tblCellMar>
      </w:tblPr>
      <w:tblGrid>
        <w:gridCol w:w="629"/>
        <w:gridCol w:w="553"/>
        <w:gridCol w:w="558"/>
        <w:gridCol w:w="348"/>
        <w:gridCol w:w="348"/>
        <w:gridCol w:w="348"/>
        <w:gridCol w:w="1020"/>
        <w:gridCol w:w="1020"/>
        <w:gridCol w:w="1455"/>
      </w:tblGrid>
      <w:tr>
        <w:trPr/>
        <w:tc>
          <w:tcPr>
            <w:tcW w:w="62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SHUTTERSTOCK,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June 8, 2023</w:t>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Lapham</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Lapham</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Corporate Secretary</w:t>
            </w:r>
          </w:p>
        </w:tc>
      </w:tr>
    </w:tbl>
    <w:p>
      <w:pPr>
        <w:pStyle w:val="TextBody"/>
        <w:bidi w:val="0"/>
        <w:spacing w:before="0" w:after="120"/>
        <w:ind w:left="0" w:right="0" w:firstLine="45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701</Words>
  <Characters>3876</Characters>
  <CharactersWithSpaces>4503</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